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43A" w:rsidRPr="0072243A" w:rsidRDefault="0072243A" w:rsidP="00AC7907">
      <w:pPr>
        <w:jc w:val="center"/>
        <w:rPr>
          <w:rFonts w:ascii="Book Antiqua" w:hAnsi="Book Antiqua"/>
          <w:b/>
        </w:rPr>
      </w:pPr>
      <w:r w:rsidRPr="0072243A">
        <w:rPr>
          <w:rFonts w:ascii="Book Antiqua" w:hAnsi="Book Antiqua"/>
          <w:b/>
        </w:rPr>
        <w:t>SM PHARMACEUTICALS SDN. BHD.</w:t>
      </w:r>
    </w:p>
    <w:p w:rsidR="0072243A" w:rsidRPr="0072243A" w:rsidRDefault="0072243A" w:rsidP="00AC7907">
      <w:pPr>
        <w:jc w:val="center"/>
        <w:rPr>
          <w:rFonts w:ascii="Book Antiqua" w:hAnsi="Book Antiqua"/>
          <w:b/>
        </w:rPr>
      </w:pPr>
    </w:p>
    <w:p w:rsidR="00B2002E" w:rsidRDefault="009330E2" w:rsidP="00AC7907">
      <w:pPr>
        <w:jc w:val="center"/>
        <w:rPr>
          <w:rFonts w:ascii="Book Antiqua" w:hAnsi="Book Antiqua"/>
          <w:b/>
        </w:rPr>
      </w:pPr>
      <w:r>
        <w:rPr>
          <w:rFonts w:ascii="Book Antiqua" w:hAnsi="Book Antiqua"/>
          <w:b/>
        </w:rPr>
        <w:t>IBU</w:t>
      </w:r>
      <w:r w:rsidR="00E92AA9">
        <w:rPr>
          <w:rFonts w:ascii="Book Antiqua" w:hAnsi="Book Antiqua"/>
          <w:b/>
        </w:rPr>
        <w:t>SPAN</w:t>
      </w:r>
      <w:r>
        <w:rPr>
          <w:rFonts w:ascii="Book Antiqua" w:hAnsi="Book Antiqua"/>
          <w:b/>
        </w:rPr>
        <w:t xml:space="preserve"> TABLET </w:t>
      </w:r>
      <w:r w:rsidR="00B17D7D">
        <w:rPr>
          <w:rFonts w:ascii="Book Antiqua" w:hAnsi="Book Antiqua"/>
          <w:b/>
        </w:rPr>
        <w:t>40</w:t>
      </w:r>
      <w:r>
        <w:rPr>
          <w:rFonts w:ascii="Book Antiqua" w:hAnsi="Book Antiqua"/>
          <w:b/>
        </w:rPr>
        <w:t>0 MG</w:t>
      </w:r>
    </w:p>
    <w:p w:rsidR="00E21340" w:rsidRPr="0072243A" w:rsidRDefault="00E21340" w:rsidP="00AC7907">
      <w:pPr>
        <w:jc w:val="center"/>
        <w:rPr>
          <w:rFonts w:ascii="Book Antiqua" w:hAnsi="Book Antiqua"/>
        </w:rPr>
      </w:pPr>
    </w:p>
    <w:p w:rsidR="00DD6A02" w:rsidRPr="00B17D7D" w:rsidRDefault="0055072C" w:rsidP="00AC7907">
      <w:pPr>
        <w:jc w:val="both"/>
        <w:rPr>
          <w:rFonts w:ascii="Book Antiqua" w:hAnsi="Book Antiqua"/>
          <w:b/>
          <w:caps/>
        </w:rPr>
      </w:pPr>
      <w:r w:rsidRPr="00B17D7D">
        <w:rPr>
          <w:rFonts w:ascii="Book Antiqua" w:hAnsi="Book Antiqua"/>
          <w:b/>
          <w:caps/>
        </w:rPr>
        <w:t>Description:</w:t>
      </w:r>
    </w:p>
    <w:p w:rsidR="00FC1C0C" w:rsidRPr="00FC1C0C" w:rsidRDefault="00B17D7D" w:rsidP="00AC7907">
      <w:pPr>
        <w:jc w:val="both"/>
        <w:rPr>
          <w:rFonts w:ascii="Book Antiqua" w:hAnsi="Book Antiqua"/>
        </w:rPr>
      </w:pPr>
      <w:r>
        <w:rPr>
          <w:rFonts w:ascii="Book Antiqua" w:hAnsi="Book Antiqua"/>
        </w:rPr>
        <w:t>A red coloured,</w:t>
      </w:r>
      <w:r w:rsidR="0055072C">
        <w:rPr>
          <w:rFonts w:ascii="Book Antiqua" w:hAnsi="Book Antiqua"/>
        </w:rPr>
        <w:t xml:space="preserve"> round</w:t>
      </w:r>
      <w:r>
        <w:rPr>
          <w:rFonts w:ascii="Book Antiqua" w:hAnsi="Book Antiqua"/>
        </w:rPr>
        <w:t>,</w:t>
      </w:r>
      <w:r w:rsidR="0055072C">
        <w:rPr>
          <w:rFonts w:ascii="Book Antiqua" w:hAnsi="Book Antiqua"/>
        </w:rPr>
        <w:t xml:space="preserve"> biconvex, film coated tablet.</w:t>
      </w:r>
    </w:p>
    <w:p w:rsidR="00FC1C0C" w:rsidRDefault="00FC1C0C" w:rsidP="00AC7907">
      <w:pPr>
        <w:jc w:val="both"/>
        <w:rPr>
          <w:rFonts w:ascii="Book Antiqua" w:hAnsi="Book Antiqua"/>
          <w:b/>
        </w:rPr>
      </w:pPr>
    </w:p>
    <w:p w:rsidR="00DD6A02" w:rsidRPr="00B17D7D" w:rsidRDefault="0055072C" w:rsidP="00AC7907">
      <w:pPr>
        <w:jc w:val="both"/>
        <w:rPr>
          <w:rFonts w:ascii="Book Antiqua" w:hAnsi="Book Antiqua"/>
          <w:b/>
          <w:caps/>
        </w:rPr>
      </w:pPr>
      <w:r w:rsidRPr="00B17D7D">
        <w:rPr>
          <w:rFonts w:ascii="Book Antiqua" w:hAnsi="Book Antiqua"/>
          <w:b/>
          <w:caps/>
        </w:rPr>
        <w:t>Composition:</w:t>
      </w:r>
    </w:p>
    <w:p w:rsidR="0055072C" w:rsidRDefault="0055072C" w:rsidP="00AC7907">
      <w:pPr>
        <w:jc w:val="both"/>
        <w:rPr>
          <w:rFonts w:ascii="Book Antiqua" w:hAnsi="Book Antiqua"/>
        </w:rPr>
      </w:pPr>
      <w:r>
        <w:rPr>
          <w:rFonts w:ascii="Book Antiqua" w:hAnsi="Book Antiqua"/>
        </w:rPr>
        <w:t xml:space="preserve">Each tablet contains: Ibuprofen BP </w:t>
      </w:r>
      <w:r w:rsidR="00B17D7D">
        <w:rPr>
          <w:rFonts w:ascii="Book Antiqua" w:hAnsi="Book Antiqua"/>
        </w:rPr>
        <w:t>40</w:t>
      </w:r>
      <w:r>
        <w:rPr>
          <w:rFonts w:ascii="Book Antiqua" w:hAnsi="Book Antiqua"/>
        </w:rPr>
        <w:t>0 mg</w:t>
      </w:r>
    </w:p>
    <w:p w:rsidR="0048419D" w:rsidRPr="0048419D" w:rsidRDefault="0048419D" w:rsidP="00AC7907">
      <w:pPr>
        <w:jc w:val="both"/>
        <w:rPr>
          <w:rFonts w:ascii="Book Antiqua" w:hAnsi="Book Antiqua"/>
        </w:rPr>
      </w:pPr>
    </w:p>
    <w:p w:rsidR="00225AE6" w:rsidRPr="00B17D7D" w:rsidRDefault="0055072C" w:rsidP="00AC7907">
      <w:pPr>
        <w:jc w:val="both"/>
        <w:rPr>
          <w:rFonts w:ascii="Book Antiqua" w:hAnsi="Book Antiqua"/>
          <w:b/>
          <w:caps/>
        </w:rPr>
      </w:pPr>
      <w:r w:rsidRPr="00B17D7D">
        <w:rPr>
          <w:rFonts w:ascii="Book Antiqua" w:hAnsi="Book Antiqua"/>
          <w:b/>
          <w:caps/>
        </w:rPr>
        <w:t>Actions and Mode or mechanisms of action:</w:t>
      </w:r>
    </w:p>
    <w:p w:rsidR="0055072C" w:rsidRPr="00EE4026" w:rsidRDefault="00EE4026" w:rsidP="0055072C">
      <w:pPr>
        <w:pStyle w:val="NormalWeb"/>
        <w:spacing w:before="0" w:beforeAutospacing="0" w:after="0" w:afterAutospacing="0"/>
        <w:jc w:val="both"/>
        <w:rPr>
          <w:rFonts w:ascii="Book Antiqua" w:hAnsi="Book Antiqua"/>
          <w:sz w:val="15"/>
          <w:szCs w:val="15"/>
        </w:rPr>
      </w:pPr>
      <w:r w:rsidRPr="00EE4026">
        <w:rPr>
          <w:rFonts w:ascii="Book Antiqua" w:hAnsi="Book Antiqua"/>
          <w:lang w:val="en-GB"/>
        </w:rPr>
        <w:t xml:space="preserve">Ibuprofen has pharmacologic actions similar to those of other NSAIDs such as aspirin, phenylbutazone and indomethacin. </w:t>
      </w:r>
      <w:r w:rsidR="0055072C" w:rsidRPr="00EE4026">
        <w:rPr>
          <w:rFonts w:ascii="Book Antiqua" w:hAnsi="Book Antiqua"/>
          <w:szCs w:val="20"/>
          <w:lang w:val="en-GB"/>
        </w:rPr>
        <w:t>Ibuprofen has shown anti-inflammatory, antipyretic, and analgesic activity in both animals and humans. Higher doses are required for anti-inflammatory effects than for analgesia.</w:t>
      </w:r>
      <w:r w:rsidR="00C178C5">
        <w:rPr>
          <w:rFonts w:ascii="Book Antiqua" w:hAnsi="Book Antiqua"/>
          <w:szCs w:val="20"/>
          <w:lang w:val="en-GB"/>
        </w:rPr>
        <w:t xml:space="preserve"> The exact mechanism(s) of action of the drug is not known.</w:t>
      </w:r>
      <w:r w:rsidR="0055072C" w:rsidRPr="00EE4026">
        <w:rPr>
          <w:rFonts w:ascii="Book Antiqua" w:hAnsi="Book Antiqua"/>
          <w:szCs w:val="20"/>
          <w:lang w:val="en-GB"/>
        </w:rPr>
        <w:t xml:space="preserve"> The anti-inflammatory action of ibuprofen may be due to inhibition of synthesis and / or release of prostaglandins. Ibuprofen probably produces anti-pyresis by acting on the hypothalamus, with heat dissipation being increased as a result of vasodilation and increased peripheral blood flow. Animal studies indicate that ibuprofen is a peripherally acting, not a centrally acting, analgesic. The drug does not possess glucocorticoid or adrenocorticoid properties and has no uricosuric action.</w:t>
      </w:r>
    </w:p>
    <w:p w:rsidR="0055072C" w:rsidRDefault="0055072C" w:rsidP="0055072C">
      <w:pPr>
        <w:pStyle w:val="NormalWeb"/>
        <w:spacing w:before="0" w:beforeAutospacing="0" w:after="0" w:afterAutospacing="0"/>
        <w:jc w:val="both"/>
        <w:rPr>
          <w:rFonts w:ascii="Book Antiqua" w:hAnsi="Book Antiqua"/>
          <w:szCs w:val="20"/>
          <w:lang w:val="en-GB"/>
        </w:rPr>
      </w:pPr>
      <w:r w:rsidRPr="0055072C">
        <w:rPr>
          <w:rFonts w:ascii="Book Antiqua" w:hAnsi="Book Antiqua"/>
          <w:szCs w:val="20"/>
          <w:lang w:val="en-GB"/>
        </w:rPr>
        <w:t>Ibuprofen inhibits platelet aggregation and prolongs bleeding time but does not affect prothrombin time or whole blood clotting time.</w:t>
      </w:r>
    </w:p>
    <w:p w:rsidR="00B17D7D" w:rsidRPr="0055072C" w:rsidRDefault="00B17D7D" w:rsidP="0055072C">
      <w:pPr>
        <w:pStyle w:val="NormalWeb"/>
        <w:spacing w:before="0" w:beforeAutospacing="0" w:after="0" w:afterAutospacing="0"/>
        <w:jc w:val="both"/>
        <w:rPr>
          <w:rFonts w:ascii="Book Antiqua" w:hAnsi="Book Antiqua"/>
          <w:sz w:val="15"/>
          <w:szCs w:val="15"/>
        </w:rPr>
      </w:pPr>
    </w:p>
    <w:p w:rsidR="00D07D2B" w:rsidRPr="00B17D7D" w:rsidRDefault="0055072C" w:rsidP="00AC7907">
      <w:pPr>
        <w:jc w:val="both"/>
        <w:rPr>
          <w:rFonts w:ascii="Book Antiqua" w:hAnsi="Book Antiqua"/>
          <w:b/>
          <w:caps/>
          <w:color w:val="000000"/>
        </w:rPr>
      </w:pPr>
      <w:r w:rsidRPr="00B17D7D">
        <w:rPr>
          <w:rFonts w:ascii="Book Antiqua" w:hAnsi="Book Antiqua"/>
          <w:b/>
          <w:caps/>
          <w:color w:val="000000"/>
        </w:rPr>
        <w:t>Pharmacology</w:t>
      </w:r>
      <w:r w:rsidR="00B17D7D">
        <w:rPr>
          <w:rFonts w:ascii="Book Antiqua" w:hAnsi="Book Antiqua"/>
          <w:b/>
          <w:caps/>
          <w:color w:val="000000"/>
        </w:rPr>
        <w:t xml:space="preserve"> (summary of pharmacodynamics and pharmacokinetics)</w:t>
      </w:r>
      <w:r w:rsidR="00D07D2B" w:rsidRPr="00B17D7D">
        <w:rPr>
          <w:rFonts w:ascii="Book Antiqua" w:hAnsi="Book Antiqua"/>
          <w:b/>
          <w:caps/>
          <w:color w:val="000000"/>
        </w:rPr>
        <w:t>:</w:t>
      </w:r>
    </w:p>
    <w:p w:rsidR="0055072C" w:rsidRDefault="0055072C" w:rsidP="0055072C">
      <w:pPr>
        <w:pStyle w:val="NormalWeb"/>
        <w:spacing w:before="0" w:beforeAutospacing="0" w:after="0" w:afterAutospacing="0"/>
        <w:jc w:val="both"/>
        <w:rPr>
          <w:rFonts w:ascii="Book Antiqua" w:hAnsi="Book Antiqua"/>
          <w:bCs/>
          <w:szCs w:val="20"/>
          <w:lang w:val="en-GB"/>
        </w:rPr>
      </w:pPr>
      <w:r w:rsidRPr="0055072C">
        <w:rPr>
          <w:rFonts w:ascii="Book Antiqua" w:hAnsi="Book Antiqua"/>
          <w:bCs/>
          <w:szCs w:val="20"/>
          <w:lang w:val="en-GB"/>
        </w:rPr>
        <w:t>Ibuprofen is approximately 80% absorbed from the gastro-intestinal tract and peak plasma concentrations occur about 1 to 2 hours after ingestion. Ibuprofen is extensively bound to plasma proteins and has a half-life of about 2 hours. It is rapidly excreted in the urine mainly as metabolites and their conjugates. About 1% is excreted in urine as unchanged ibuprofen and about 14% as conjugated ibuprofen.</w:t>
      </w:r>
    </w:p>
    <w:p w:rsidR="00B17D7D" w:rsidRPr="00B17D7D" w:rsidRDefault="00B17D7D" w:rsidP="00B17D7D">
      <w:pPr>
        <w:jc w:val="both"/>
        <w:rPr>
          <w:rFonts w:ascii="Book Antiqua" w:hAnsi="Book Antiqua"/>
          <w:color w:val="000000"/>
        </w:rPr>
      </w:pPr>
      <w:r w:rsidRPr="00B17D7D">
        <w:rPr>
          <w:rFonts w:ascii="Book Antiqua" w:hAnsi="Book Antiqua"/>
          <w:color w:val="000000"/>
        </w:rPr>
        <w:t xml:space="preserve">Absorption rate is slower and plasma concentrations are reduced when ibuprofen tablets or suspension are taken with food; however, the extent of absorption is not affected. It appears that the rate of oral absorption is faster for the suspension compared with that of the tablets. Following oral administration of ibuprofen tablets or suspension, peak serum concentrations are reached within 2 or 1 hour, respectively. Average peak serum ibuprofen concentrations of about 40 µg/mL occur after about 1.5 hours in febrile children receiving a single 10-mg/kg dose of ibuprofen suspension. Following oral administration of ibuprofen tablets in adults, the area under the serum concentration-time curves (AUCs) of ibuprofen increase proportionally with single ibuprofen doses up to 800 mg; at higher doses, increases in AUCs are less than proportional to the increases in dose. Following oral administration of ibuprofen </w:t>
      </w:r>
      <w:r w:rsidRPr="00B17D7D">
        <w:rPr>
          <w:rFonts w:ascii="Book Antiqua" w:hAnsi="Book Antiqua"/>
          <w:color w:val="000000"/>
        </w:rPr>
        <w:lastRenderedPageBreak/>
        <w:t>suspension in febrile children. AUCs increase with increasing single ibuprofen doses up to 10 mg/kg; it appears that absorption of ibuprofen suspension is not affected by age, in children 2 to 11 years of age. In children, the antipyretic effect of ibuprofen suspension begins within 1 hour after oral administration and peaks within 2-4 hours. The antipyretic effect of single ibuprofen doses of 5 or 10 mg/kg may last up to 6 or 8 hours, respectively. Plasma concentrations required for anti-inflammatory effect are not known. A few days to 2 weeks therapy are required before therapeutic response occurs.</w:t>
      </w:r>
    </w:p>
    <w:p w:rsidR="00D07D2B" w:rsidRDefault="00D07D2B" w:rsidP="00AC7907">
      <w:pPr>
        <w:pStyle w:val="NormalWeb"/>
        <w:spacing w:before="0" w:beforeAutospacing="0" w:after="0" w:afterAutospacing="0"/>
        <w:jc w:val="both"/>
        <w:rPr>
          <w:rFonts w:ascii="Book Antiqua" w:hAnsi="Book Antiqua"/>
          <w:b/>
          <w:lang w:val="en-GB"/>
        </w:rPr>
      </w:pPr>
    </w:p>
    <w:p w:rsidR="005370B7" w:rsidRPr="00B17D7D" w:rsidRDefault="00D07D2B" w:rsidP="00AC7907">
      <w:pPr>
        <w:jc w:val="both"/>
        <w:rPr>
          <w:rFonts w:ascii="Book Antiqua" w:hAnsi="Book Antiqua"/>
          <w:b/>
          <w:caps/>
          <w:color w:val="000000"/>
        </w:rPr>
      </w:pPr>
      <w:r w:rsidRPr="00B17D7D">
        <w:rPr>
          <w:rFonts w:ascii="Book Antiqua" w:hAnsi="Book Antiqua"/>
          <w:b/>
          <w:caps/>
          <w:color w:val="000000"/>
        </w:rPr>
        <w:t>Indications:</w:t>
      </w:r>
    </w:p>
    <w:p w:rsidR="00C558F8" w:rsidRPr="00C558F8" w:rsidRDefault="00C558F8" w:rsidP="00AC7907">
      <w:pPr>
        <w:adjustRightInd w:val="0"/>
        <w:jc w:val="both"/>
        <w:rPr>
          <w:rFonts w:ascii="Book Antiqua" w:hAnsi="Book Antiqua"/>
        </w:rPr>
      </w:pPr>
      <w:r w:rsidRPr="00C558F8">
        <w:rPr>
          <w:rFonts w:ascii="Book Antiqua" w:hAnsi="Book Antiqua"/>
        </w:rPr>
        <w:t>Ibuprofen is used in the management of mild to moderate pain in conditions such as dysmenorrhoes, migraine, postoperative pain, ankylosing spondylitis, osteoarthritis, and rheumatoid including juvenile rheumatoid arthritis, and in other musculoskeletal and joint disorders such as sprains and strains</w:t>
      </w:r>
    </w:p>
    <w:p w:rsidR="00221262" w:rsidRPr="0055072C" w:rsidRDefault="00221262" w:rsidP="00AC7907">
      <w:pPr>
        <w:jc w:val="both"/>
        <w:rPr>
          <w:rFonts w:ascii="Book Antiqua" w:hAnsi="Book Antiqua"/>
          <w:b/>
          <w:color w:val="000000"/>
        </w:rPr>
      </w:pPr>
    </w:p>
    <w:p w:rsidR="005370B7" w:rsidRPr="00B17D7D" w:rsidRDefault="00D07D2B" w:rsidP="00AC7907">
      <w:pPr>
        <w:jc w:val="both"/>
        <w:rPr>
          <w:rFonts w:ascii="Book Antiqua" w:hAnsi="Book Antiqua"/>
          <w:b/>
          <w:caps/>
          <w:color w:val="000000"/>
        </w:rPr>
      </w:pPr>
      <w:r w:rsidRPr="00B17D7D">
        <w:rPr>
          <w:rFonts w:ascii="Book Antiqua" w:hAnsi="Book Antiqua"/>
          <w:b/>
          <w:caps/>
          <w:color w:val="000000"/>
        </w:rPr>
        <w:t>Contraindications:</w:t>
      </w:r>
    </w:p>
    <w:p w:rsidR="00B17D7D" w:rsidRDefault="00CA34F8" w:rsidP="00CA34F8">
      <w:pPr>
        <w:pStyle w:val="NormalWeb"/>
        <w:spacing w:before="0" w:beforeAutospacing="0" w:after="0" w:afterAutospacing="0"/>
        <w:jc w:val="both"/>
        <w:rPr>
          <w:rFonts w:ascii="Book Antiqua" w:hAnsi="Book Antiqua"/>
          <w:bCs/>
          <w:szCs w:val="20"/>
          <w:lang w:val="en-GB"/>
        </w:rPr>
      </w:pPr>
      <w:r w:rsidRPr="00CA34F8">
        <w:rPr>
          <w:rFonts w:ascii="Book Antiqua" w:hAnsi="Book Antiqua"/>
          <w:bCs/>
          <w:szCs w:val="20"/>
          <w:lang w:val="en-GB"/>
        </w:rPr>
        <w:t xml:space="preserve">Ibuprofen is contraindicated in patients with known hypersensitivity to the drug and in patients in whom bronchospasm, angioedema, or nasal polyps are precipitated by aspirin or other NSAIDs. NSAIDs generally are contraindicated in patients in whom urticaria, angioedema, bronchospasm, severe rhinitis, or shock is precipitated by aspirin or other NSAIDs, although the drugs have occasionally been used in NSAID-sensitive patients who have undergone de-sensitization. </w:t>
      </w:r>
    </w:p>
    <w:p w:rsidR="00CA34F8" w:rsidRPr="00CA34F8" w:rsidRDefault="00CA34F8" w:rsidP="00CA34F8">
      <w:pPr>
        <w:pStyle w:val="NormalWeb"/>
        <w:spacing w:before="0" w:beforeAutospacing="0" w:after="0" w:afterAutospacing="0"/>
        <w:jc w:val="both"/>
        <w:rPr>
          <w:rFonts w:ascii="Book Antiqua" w:hAnsi="Book Antiqua"/>
          <w:sz w:val="15"/>
          <w:szCs w:val="15"/>
        </w:rPr>
      </w:pPr>
      <w:r w:rsidRPr="00CA34F8">
        <w:rPr>
          <w:rFonts w:ascii="Book Antiqua" w:hAnsi="Book Antiqua"/>
          <w:bCs/>
          <w:szCs w:val="20"/>
          <w:lang w:val="en-GB"/>
        </w:rPr>
        <w:t>Should not be administered to patients with a history of, or active peptic ulceration.</w:t>
      </w:r>
    </w:p>
    <w:p w:rsidR="00221262" w:rsidRPr="0055072C" w:rsidRDefault="00221262" w:rsidP="00AC7907">
      <w:pPr>
        <w:adjustRightInd w:val="0"/>
        <w:jc w:val="both"/>
        <w:rPr>
          <w:rFonts w:ascii="Book Antiqua" w:hAnsi="Book Antiqua"/>
          <w:color w:val="000000"/>
        </w:rPr>
      </w:pPr>
    </w:p>
    <w:p w:rsidR="00DD3441" w:rsidRPr="00B17D7D" w:rsidRDefault="00D07D2B" w:rsidP="00AC7907">
      <w:pPr>
        <w:jc w:val="both"/>
        <w:rPr>
          <w:rFonts w:ascii="Book Antiqua" w:hAnsi="Book Antiqua"/>
          <w:b/>
          <w:caps/>
          <w:color w:val="000000"/>
        </w:rPr>
      </w:pPr>
      <w:r w:rsidRPr="00B17D7D">
        <w:rPr>
          <w:rFonts w:ascii="Book Antiqua" w:hAnsi="Book Antiqua"/>
          <w:b/>
          <w:caps/>
          <w:color w:val="000000"/>
        </w:rPr>
        <w:t>Side Effects / Adverse Reactions:</w:t>
      </w:r>
    </w:p>
    <w:p w:rsidR="00CA34F8" w:rsidRPr="00CA34F8" w:rsidRDefault="00CA34F8" w:rsidP="00CA34F8">
      <w:pPr>
        <w:pStyle w:val="NormalWeb"/>
        <w:spacing w:before="0" w:beforeAutospacing="0" w:after="0" w:afterAutospacing="0"/>
        <w:jc w:val="both"/>
        <w:rPr>
          <w:rFonts w:ascii="Book Antiqua" w:hAnsi="Book Antiqua"/>
          <w:sz w:val="15"/>
          <w:szCs w:val="15"/>
        </w:rPr>
      </w:pPr>
      <w:r w:rsidRPr="00CA34F8">
        <w:rPr>
          <w:rFonts w:ascii="Book Antiqua" w:hAnsi="Book Antiqua"/>
          <w:szCs w:val="20"/>
          <w:lang w:val="en-GB"/>
        </w:rPr>
        <w:t>The most frequent adverse effects occurring with ibuprofen are gastro-intestinal disturbances; reactions range from abdominal discomfort, nausea and vomiting, and abdominal pain to serious gastro-intestinal bleeding or activation of peptic ulcer. CNS-related side effects include headache, dizziness, nervousness, tinnitus, depression, drowsiness, and insomnia. Hypersensitivity reactions may occur occasionally and include fever and rashes. Hepatotoxicity and aseptic meningitis which rarely may also be hypersensitivity reactions. Ibuprofen can provoke bronchospasm in patients with asthma. Ibuprofen and other non-steroidal anti-inflammatory drugs may cause cystitis and haematuria. They may also cause renal failure, interstitial nephritis, and nephrotic syndrome.</w:t>
      </w:r>
    </w:p>
    <w:p w:rsidR="00CA34F8" w:rsidRPr="00CA34F8" w:rsidRDefault="00CA34F8" w:rsidP="00CA34F8">
      <w:pPr>
        <w:pStyle w:val="NormalWeb"/>
        <w:spacing w:before="0" w:beforeAutospacing="0" w:after="0" w:afterAutospacing="0"/>
        <w:jc w:val="both"/>
        <w:rPr>
          <w:rFonts w:ascii="Book Antiqua" w:hAnsi="Book Antiqua"/>
          <w:sz w:val="15"/>
          <w:szCs w:val="15"/>
        </w:rPr>
      </w:pPr>
      <w:r w:rsidRPr="00CA34F8">
        <w:rPr>
          <w:rFonts w:ascii="Book Antiqua" w:hAnsi="Book Antiqua"/>
          <w:szCs w:val="20"/>
          <w:lang w:val="en-GB"/>
        </w:rPr>
        <w:t>Other adverse effects include anaemias, thrombocytopenia, neutropenia, eosinophilia, agranulocytosis, abnormalities in liver function tests, blurred vision, changes in visual colour perception, and toxic amblyopia.</w:t>
      </w:r>
    </w:p>
    <w:p w:rsidR="00CA34F8" w:rsidRPr="00CA34F8" w:rsidRDefault="00CA34F8" w:rsidP="00CA34F8">
      <w:pPr>
        <w:pStyle w:val="NormalWeb"/>
        <w:spacing w:before="0" w:beforeAutospacing="0" w:after="0" w:afterAutospacing="0"/>
        <w:jc w:val="both"/>
        <w:rPr>
          <w:rFonts w:ascii="Book Antiqua" w:hAnsi="Book Antiqua"/>
          <w:sz w:val="15"/>
          <w:szCs w:val="15"/>
        </w:rPr>
      </w:pPr>
      <w:r w:rsidRPr="00CA34F8">
        <w:rPr>
          <w:rFonts w:ascii="Book Antiqua" w:hAnsi="Book Antiqua"/>
          <w:szCs w:val="20"/>
          <w:lang w:val="en-GB"/>
        </w:rPr>
        <w:t>Hypersensitivity – assorted skin disorders including rashes of various types, pruritus, urticaria, purpura angioedema, photosensitivity and less commonly bullous dermatoses.</w:t>
      </w:r>
    </w:p>
    <w:p w:rsidR="00B17D7D" w:rsidRDefault="00B17D7D" w:rsidP="00AC7907">
      <w:pPr>
        <w:jc w:val="both"/>
        <w:rPr>
          <w:rFonts w:ascii="Book Antiqua" w:hAnsi="Book Antiqua"/>
          <w:color w:val="000000"/>
        </w:rPr>
      </w:pPr>
    </w:p>
    <w:p w:rsidR="00856A60" w:rsidRDefault="00856A60" w:rsidP="00AC7907">
      <w:pPr>
        <w:jc w:val="both"/>
        <w:rPr>
          <w:rFonts w:ascii="Book Antiqua" w:hAnsi="Book Antiqua"/>
          <w:color w:val="000000"/>
        </w:rPr>
      </w:pPr>
    </w:p>
    <w:p w:rsidR="00856A60" w:rsidRPr="0055072C" w:rsidRDefault="00856A60" w:rsidP="00AC7907">
      <w:pPr>
        <w:jc w:val="both"/>
        <w:rPr>
          <w:rFonts w:ascii="Book Antiqua" w:hAnsi="Book Antiqua"/>
          <w:color w:val="000000"/>
        </w:rPr>
      </w:pPr>
    </w:p>
    <w:p w:rsidR="00304DCD" w:rsidRPr="00B17D7D" w:rsidRDefault="002C694C" w:rsidP="00AC7907">
      <w:pPr>
        <w:jc w:val="both"/>
        <w:rPr>
          <w:rFonts w:ascii="Book Antiqua" w:hAnsi="Book Antiqua"/>
          <w:caps/>
          <w:color w:val="000000"/>
        </w:rPr>
      </w:pPr>
      <w:r w:rsidRPr="00B17D7D">
        <w:rPr>
          <w:rFonts w:ascii="Book Antiqua" w:hAnsi="Book Antiqua"/>
          <w:b/>
          <w:caps/>
          <w:color w:val="000000"/>
        </w:rPr>
        <w:lastRenderedPageBreak/>
        <w:t>Precautions / Warnings:</w:t>
      </w:r>
    </w:p>
    <w:p w:rsidR="00CA34F8" w:rsidRPr="003C376D" w:rsidRDefault="00CA34F8" w:rsidP="00CA34F8">
      <w:pPr>
        <w:pStyle w:val="NormalWeb"/>
        <w:spacing w:before="0" w:beforeAutospacing="0" w:after="0" w:afterAutospacing="0"/>
        <w:jc w:val="both"/>
        <w:rPr>
          <w:rFonts w:ascii="Book Antiqua" w:hAnsi="Book Antiqua"/>
          <w:b/>
          <w:lang w:val="en-GB"/>
        </w:rPr>
      </w:pPr>
      <w:r w:rsidRPr="00CA34F8">
        <w:rPr>
          <w:rFonts w:ascii="Book Antiqua" w:hAnsi="Book Antiqua"/>
          <w:b/>
          <w:lang w:val="en-GB"/>
        </w:rPr>
        <w:t>Ibuprofen or other non-steroidal anti-inflammatory drugs should not be given to patients with active peptic ulceration. It should be given with care to the elderly, to patients with asthma or</w:t>
      </w:r>
      <w:r w:rsidRPr="00CA34F8">
        <w:rPr>
          <w:rFonts w:ascii="Book Antiqua" w:hAnsi="Book Antiqua"/>
          <w:b/>
          <w:bCs/>
          <w:lang w:val="en-GB"/>
        </w:rPr>
        <w:t xml:space="preserve"> </w:t>
      </w:r>
      <w:r w:rsidRPr="00CA34F8">
        <w:rPr>
          <w:rFonts w:ascii="Book Antiqua" w:hAnsi="Book Antiqua"/>
          <w:b/>
          <w:lang w:val="en-GB"/>
        </w:rPr>
        <w:t>bronchospasm, bleeding disorders, cardiovascular disease, a history of peptic ulceration, and in liver or renal failure. Patients with congestive heart failure, cirrhosis, diuretic-induced volume depletion, or renal insufficiency require local synthesis of vasodilating prostaglandins to maintain renal perfusion, and therefore these patients are at greater risk of developing renal dysfunction due to NSAID-induced inhibition of renal prostaglandin synthesis.</w:t>
      </w:r>
      <w:r w:rsidR="00B17D7D">
        <w:rPr>
          <w:rFonts w:ascii="Book Antiqua" w:hAnsi="Book Antiqua"/>
          <w:b/>
          <w:lang w:val="en-GB"/>
        </w:rPr>
        <w:t xml:space="preserve"> </w:t>
      </w:r>
      <w:r w:rsidRPr="00CA34F8">
        <w:rPr>
          <w:rFonts w:ascii="Book Antiqua" w:hAnsi="Book Antiqua"/>
          <w:b/>
          <w:lang w:val="en-GB"/>
        </w:rPr>
        <w:t>Care is required in those who are also receiving coumarin anticoagulants. Patients who are sensitive to aspirin or other NSAIDs should generally not be given ibuprofen.</w:t>
      </w:r>
      <w:r w:rsidR="003C376D">
        <w:rPr>
          <w:rFonts w:ascii="Book Antiqua" w:hAnsi="Book Antiqua"/>
          <w:b/>
          <w:lang w:val="en-GB"/>
        </w:rPr>
        <w:t xml:space="preserve"> </w:t>
      </w:r>
      <w:r w:rsidRPr="00CA34F8">
        <w:rPr>
          <w:rFonts w:ascii="Book Antiqua" w:hAnsi="Book Antiqua"/>
          <w:b/>
          <w:lang w:val="en-GB"/>
        </w:rPr>
        <w:t>Ibuprofen should be discontinued in patients who experienced blurred or diminished vision, or changes in colour vision. Patients with collagen disease may be at increased risk of developing aseptic meningitis.</w:t>
      </w:r>
    </w:p>
    <w:p w:rsidR="003C376D" w:rsidRDefault="003C376D" w:rsidP="00CA34F8">
      <w:pPr>
        <w:pStyle w:val="NormalWeb"/>
        <w:spacing w:before="0" w:beforeAutospacing="0" w:after="0" w:afterAutospacing="0"/>
        <w:jc w:val="both"/>
        <w:rPr>
          <w:rFonts w:ascii="Book Antiqua" w:hAnsi="Book Antiqua"/>
          <w:b/>
          <w:lang w:val="en-GB"/>
        </w:rPr>
      </w:pPr>
    </w:p>
    <w:p w:rsidR="00CA34F8" w:rsidRDefault="00CA34F8" w:rsidP="00CA34F8">
      <w:pPr>
        <w:pStyle w:val="NormalWeb"/>
        <w:spacing w:before="0" w:beforeAutospacing="0" w:after="0" w:afterAutospacing="0"/>
        <w:jc w:val="both"/>
        <w:rPr>
          <w:rFonts w:ascii="Book Antiqua" w:hAnsi="Book Antiqua"/>
          <w:b/>
          <w:lang w:val="en-GB"/>
        </w:rPr>
      </w:pPr>
      <w:r w:rsidRPr="003C376D">
        <w:rPr>
          <w:rFonts w:ascii="Book Antiqua" w:hAnsi="Book Antiqua"/>
          <w:b/>
          <w:u w:val="single"/>
          <w:lang w:val="en-GB"/>
        </w:rPr>
        <w:t>Use during pregnancy</w:t>
      </w:r>
      <w:r w:rsidRPr="00CA34F8">
        <w:rPr>
          <w:rFonts w:ascii="Book Antiqua" w:hAnsi="Book Antiqua"/>
          <w:b/>
          <w:lang w:val="en-GB"/>
        </w:rPr>
        <w:t xml:space="preserve"> should, if possible, be avoided.</w:t>
      </w:r>
    </w:p>
    <w:p w:rsidR="003C376D" w:rsidRDefault="003C376D" w:rsidP="003C376D">
      <w:pPr>
        <w:pStyle w:val="BodyText"/>
        <w:spacing w:after="0"/>
        <w:jc w:val="both"/>
        <w:rPr>
          <w:rFonts w:ascii="Book Antiqua" w:hAnsi="Book Antiqua"/>
          <w:b/>
          <w:bCs/>
          <w:u w:val="single"/>
        </w:rPr>
      </w:pPr>
    </w:p>
    <w:p w:rsidR="003C376D" w:rsidRPr="003C376D" w:rsidRDefault="003C376D" w:rsidP="003C376D">
      <w:pPr>
        <w:pStyle w:val="BodyText"/>
        <w:spacing w:after="0"/>
        <w:jc w:val="both"/>
        <w:rPr>
          <w:rFonts w:ascii="Book Antiqua" w:hAnsi="Book Antiqua"/>
          <w:b/>
          <w:bCs/>
          <w:u w:val="single"/>
        </w:rPr>
      </w:pPr>
      <w:r w:rsidRPr="003C376D">
        <w:rPr>
          <w:rFonts w:ascii="Book Antiqua" w:hAnsi="Book Antiqua"/>
          <w:b/>
          <w:bCs/>
          <w:u w:val="single"/>
        </w:rPr>
        <w:t>Use in lactation</w:t>
      </w:r>
    </w:p>
    <w:p w:rsidR="003C376D" w:rsidRDefault="003C376D" w:rsidP="003C376D">
      <w:pPr>
        <w:pStyle w:val="BodyText"/>
        <w:spacing w:after="0"/>
        <w:jc w:val="both"/>
        <w:rPr>
          <w:rFonts w:ascii="Book Antiqua" w:hAnsi="Book Antiqua"/>
          <w:b/>
        </w:rPr>
      </w:pPr>
      <w:r w:rsidRPr="003C376D">
        <w:rPr>
          <w:rFonts w:ascii="Book Antiqua" w:hAnsi="Book Antiqua"/>
          <w:b/>
        </w:rPr>
        <w:t>Ibuprofen is not recommended for nursing mothers unless the expected benefits to the mother outweigh the potential risk to the neonate.</w:t>
      </w:r>
    </w:p>
    <w:p w:rsidR="003C376D" w:rsidRPr="003C376D" w:rsidRDefault="003C376D" w:rsidP="003C376D">
      <w:pPr>
        <w:pStyle w:val="BodyText"/>
        <w:spacing w:after="0"/>
        <w:jc w:val="both"/>
        <w:rPr>
          <w:rFonts w:ascii="Book Antiqua" w:hAnsi="Book Antiqua"/>
          <w:b/>
        </w:rPr>
      </w:pPr>
    </w:p>
    <w:p w:rsidR="003C376D" w:rsidRPr="003C376D" w:rsidRDefault="003C376D" w:rsidP="005B4007">
      <w:pPr>
        <w:pStyle w:val="BodyText"/>
        <w:spacing w:after="0"/>
        <w:jc w:val="both"/>
        <w:rPr>
          <w:rFonts w:ascii="Book Antiqua" w:hAnsi="Book Antiqua"/>
          <w:b/>
          <w:bCs/>
          <w:u w:val="single"/>
        </w:rPr>
      </w:pPr>
      <w:r w:rsidRPr="003C376D">
        <w:rPr>
          <w:rFonts w:ascii="Book Antiqua" w:hAnsi="Book Antiqua"/>
          <w:b/>
          <w:bCs/>
          <w:u w:val="single"/>
        </w:rPr>
        <w:t>Use in children</w:t>
      </w:r>
    </w:p>
    <w:p w:rsidR="003C376D" w:rsidRDefault="003C376D" w:rsidP="005B4007">
      <w:pPr>
        <w:pStyle w:val="BodyText"/>
        <w:spacing w:after="0"/>
        <w:jc w:val="both"/>
        <w:rPr>
          <w:rFonts w:ascii="Book Antiqua" w:hAnsi="Book Antiqua"/>
          <w:b/>
        </w:rPr>
      </w:pPr>
      <w:r w:rsidRPr="003C376D">
        <w:rPr>
          <w:rFonts w:ascii="Book Antiqua" w:hAnsi="Book Antiqua"/>
          <w:b/>
        </w:rPr>
        <w:t>Appropriate studies performed to date have not demonstrated pediatric-specific problems that would limit the usefulness of ibuprofen in children 6 months of age or older.  Safety and efficacy in infants younger than 6 months of age have not been established.</w:t>
      </w:r>
    </w:p>
    <w:p w:rsidR="003C376D" w:rsidRDefault="003C376D" w:rsidP="003C376D">
      <w:pPr>
        <w:pStyle w:val="BodyText"/>
        <w:spacing w:after="0"/>
        <w:jc w:val="both"/>
        <w:rPr>
          <w:rFonts w:ascii="Book Antiqua" w:hAnsi="Book Antiqua"/>
          <w:b/>
        </w:rPr>
      </w:pPr>
    </w:p>
    <w:p w:rsidR="003C376D" w:rsidRPr="003C376D" w:rsidRDefault="003C376D" w:rsidP="003C376D">
      <w:pPr>
        <w:pStyle w:val="BodyText"/>
        <w:spacing w:after="0"/>
        <w:jc w:val="both"/>
        <w:rPr>
          <w:rFonts w:ascii="Book Antiqua" w:hAnsi="Book Antiqua"/>
          <w:b/>
          <w:u w:val="single"/>
        </w:rPr>
      </w:pPr>
      <w:r w:rsidRPr="003C376D">
        <w:rPr>
          <w:rFonts w:ascii="Book Antiqua" w:hAnsi="Book Antiqua"/>
          <w:b/>
          <w:bCs/>
          <w:u w:val="single"/>
        </w:rPr>
        <w:t>Use in elderly</w:t>
      </w:r>
    </w:p>
    <w:p w:rsidR="003C376D" w:rsidRPr="003C376D" w:rsidRDefault="003C376D" w:rsidP="003C376D">
      <w:pPr>
        <w:pStyle w:val="BodyText"/>
        <w:spacing w:after="0"/>
        <w:jc w:val="both"/>
        <w:rPr>
          <w:rFonts w:ascii="Book Antiqua" w:hAnsi="Book Antiqua"/>
          <w:b/>
        </w:rPr>
      </w:pPr>
      <w:r w:rsidRPr="003C376D">
        <w:rPr>
          <w:rFonts w:ascii="Book Antiqua" w:hAnsi="Book Antiqua"/>
          <w:b/>
        </w:rPr>
        <w:t>Since elderly patients may have a degree of impaired liver or renal function the adult dosage should be used with caution (see Dosage). Also, careful monitoring of the patient is recommended.</w:t>
      </w:r>
    </w:p>
    <w:p w:rsidR="003C376D" w:rsidRPr="003C376D" w:rsidRDefault="003C376D" w:rsidP="003C376D">
      <w:pPr>
        <w:pStyle w:val="BodyText"/>
        <w:spacing w:after="0"/>
        <w:jc w:val="both"/>
        <w:rPr>
          <w:rFonts w:ascii="Book Antiqua" w:hAnsi="Book Antiqua"/>
          <w:b/>
        </w:rPr>
      </w:pPr>
    </w:p>
    <w:p w:rsidR="0080434D" w:rsidRPr="003C376D" w:rsidRDefault="00CA34F8" w:rsidP="00AC7907">
      <w:pPr>
        <w:jc w:val="both"/>
        <w:rPr>
          <w:rFonts w:ascii="Book Antiqua" w:hAnsi="Book Antiqua"/>
          <w:b/>
          <w:bCs/>
          <w:caps/>
          <w:color w:val="000000"/>
        </w:rPr>
      </w:pPr>
      <w:r w:rsidRPr="003C376D">
        <w:rPr>
          <w:rFonts w:ascii="Book Antiqua" w:hAnsi="Book Antiqua"/>
          <w:b/>
          <w:bCs/>
          <w:caps/>
          <w:color w:val="000000"/>
        </w:rPr>
        <w:t>Drug Interactions:</w:t>
      </w:r>
    </w:p>
    <w:p w:rsidR="00CA34F8" w:rsidRPr="00CA34F8" w:rsidRDefault="00CA34F8" w:rsidP="00CA34F8">
      <w:pPr>
        <w:pStyle w:val="NormalWeb"/>
        <w:spacing w:before="0" w:beforeAutospacing="0" w:after="0" w:afterAutospacing="0"/>
        <w:jc w:val="both"/>
        <w:rPr>
          <w:rFonts w:ascii="Book Antiqua" w:hAnsi="Book Antiqua"/>
        </w:rPr>
      </w:pPr>
      <w:r w:rsidRPr="003C376D">
        <w:rPr>
          <w:rFonts w:ascii="Book Antiqua" w:hAnsi="Book Antiqua"/>
          <w:i/>
          <w:iCs/>
          <w:lang w:val="en-GB"/>
        </w:rPr>
        <w:t>Anticoagulants and Thrombolytic Agents</w:t>
      </w:r>
      <w:r w:rsidRPr="00CA34F8">
        <w:rPr>
          <w:rFonts w:ascii="Book Antiqua" w:hAnsi="Book Antiqua"/>
          <w:lang w:val="en-GB"/>
        </w:rPr>
        <w:t xml:space="preserve"> – In several short-term, controlled studies. Ibuprofen did not have a substantial effect on the prothrombin time of patients receiving oral anticoagulants; however, because Ibuprofen may cause GI bleeding, inhibit platelet aggregation, and prolong bleeding time and because bleeding has occurred when Ibuprofen and coumarin-derivative anticoagulants were administered concomitantly, the drug should be used with caution and the patient carefully observed if the drug is used concomitantly with any anticoagulant (e.g. warfarin) or thrombolytic agent (e.g., streptokinase)</w:t>
      </w:r>
    </w:p>
    <w:p w:rsidR="00CA34F8" w:rsidRPr="00CA34F8" w:rsidRDefault="00CA34F8" w:rsidP="00CA34F8">
      <w:pPr>
        <w:pStyle w:val="NormalWeb"/>
        <w:spacing w:before="0" w:beforeAutospacing="0" w:after="0" w:afterAutospacing="0"/>
        <w:jc w:val="both"/>
        <w:rPr>
          <w:rFonts w:ascii="Book Antiqua" w:hAnsi="Book Antiqua"/>
        </w:rPr>
      </w:pPr>
      <w:r w:rsidRPr="003C376D">
        <w:rPr>
          <w:rFonts w:ascii="Book Antiqua" w:hAnsi="Book Antiqua"/>
          <w:i/>
          <w:iCs/>
          <w:lang w:val="en-GB"/>
        </w:rPr>
        <w:t>Other Nonsteroidal Anti-inflammatory Drugs</w:t>
      </w:r>
      <w:r w:rsidRPr="00CA34F8">
        <w:rPr>
          <w:rFonts w:ascii="Book Antiqua" w:hAnsi="Book Antiqua"/>
          <w:lang w:val="en-GB"/>
        </w:rPr>
        <w:t xml:space="preserve">– In animal studies, blood concentrations of ibuprofen increased when Aspirin and ibuprofen were administered concomitantly. </w:t>
      </w:r>
      <w:r w:rsidRPr="00CA34F8">
        <w:rPr>
          <w:rFonts w:ascii="Book Antiqua" w:hAnsi="Book Antiqua"/>
          <w:lang w:val="en-GB"/>
        </w:rPr>
        <w:lastRenderedPageBreak/>
        <w:t>Although limited studies have not shown decreased blood concentrations of ibuprofen when these drugs were administered concurrently, this possibility should be considered. In addition, concomitant administration of ibuprofen and salicylates, phenylbutazone, indomethacin or other NSAIDs could potentiate the adverse GI effects of these drugs, and thus ibuprofen probably should not be administered with these agents</w:t>
      </w:r>
    </w:p>
    <w:p w:rsidR="00CA34F8" w:rsidRPr="00CA34F8" w:rsidRDefault="00CA34F8" w:rsidP="00CA34F8">
      <w:pPr>
        <w:pStyle w:val="NormalWeb"/>
        <w:spacing w:before="0" w:beforeAutospacing="0" w:after="0" w:afterAutospacing="0"/>
        <w:jc w:val="both"/>
        <w:rPr>
          <w:rFonts w:ascii="Book Antiqua" w:hAnsi="Book Antiqua"/>
        </w:rPr>
      </w:pPr>
      <w:r w:rsidRPr="003C376D">
        <w:rPr>
          <w:rFonts w:ascii="Book Antiqua" w:hAnsi="Book Antiqua"/>
          <w:i/>
          <w:iCs/>
          <w:lang w:val="en-GB"/>
        </w:rPr>
        <w:t>Digitalis (Cardiac) glycosides</w:t>
      </w:r>
      <w:r w:rsidRPr="00CA34F8">
        <w:rPr>
          <w:rFonts w:ascii="Book Antiqua" w:hAnsi="Book Antiqua"/>
          <w:lang w:val="en-GB"/>
        </w:rPr>
        <w:t xml:space="preserve"> – Ibuprofen has been shown to increase serum digoxin concentrations, increased monitoring and dosage adjustments of the digitalis glycoside may be necessary during and following concurrent NSAID therapy.</w:t>
      </w:r>
    </w:p>
    <w:p w:rsidR="00CA34F8" w:rsidRPr="00CA34F8" w:rsidRDefault="00CA34F8" w:rsidP="00CA34F8">
      <w:pPr>
        <w:pStyle w:val="NormalWeb"/>
        <w:spacing w:before="0" w:beforeAutospacing="0" w:after="0" w:afterAutospacing="0"/>
        <w:jc w:val="both"/>
        <w:rPr>
          <w:rFonts w:ascii="Book Antiqua" w:hAnsi="Book Antiqua"/>
        </w:rPr>
      </w:pPr>
      <w:r w:rsidRPr="003C376D">
        <w:rPr>
          <w:rFonts w:ascii="Book Antiqua" w:hAnsi="Book Antiqua"/>
          <w:i/>
          <w:iCs/>
          <w:lang w:val="en-GB"/>
        </w:rPr>
        <w:t>Quinolone antibiotics</w:t>
      </w:r>
      <w:r w:rsidRPr="00CA34F8">
        <w:rPr>
          <w:rFonts w:ascii="Book Antiqua" w:hAnsi="Book Antiqua"/>
          <w:lang w:val="en-GB"/>
        </w:rPr>
        <w:t xml:space="preserve"> – Ibuprofen can increase the central adverse effects of quinolone antibiotics leading to convulsions.</w:t>
      </w:r>
    </w:p>
    <w:p w:rsidR="00CA34F8" w:rsidRPr="00CA34F8" w:rsidRDefault="00CA34F8" w:rsidP="00CA34F8">
      <w:pPr>
        <w:pStyle w:val="NormalWeb"/>
        <w:spacing w:before="0" w:beforeAutospacing="0" w:after="0" w:afterAutospacing="0"/>
        <w:jc w:val="both"/>
        <w:rPr>
          <w:rFonts w:ascii="Book Antiqua" w:hAnsi="Book Antiqua"/>
        </w:rPr>
      </w:pPr>
      <w:r w:rsidRPr="003C376D">
        <w:rPr>
          <w:rFonts w:ascii="Book Antiqua" w:hAnsi="Book Antiqua"/>
          <w:i/>
          <w:iCs/>
          <w:lang w:val="en-GB"/>
        </w:rPr>
        <w:t>Lithium</w:t>
      </w:r>
      <w:r w:rsidRPr="00CA34F8">
        <w:rPr>
          <w:rFonts w:ascii="Book Antiqua" w:hAnsi="Book Antiqua"/>
          <w:lang w:val="en-GB"/>
        </w:rPr>
        <w:t xml:space="preserve"> – Ibuprofen has been reported to increase the steady-state concentration of lithium, possibly by decreasing its renal clearance; increased monitoring of lithium concentrations is recommended during and following concurrent use.</w:t>
      </w:r>
    </w:p>
    <w:p w:rsidR="00CA34F8" w:rsidRPr="00CA34F8" w:rsidRDefault="00CA34F8" w:rsidP="00CA34F8">
      <w:pPr>
        <w:pStyle w:val="NormalWeb"/>
        <w:spacing w:before="0" w:beforeAutospacing="0" w:after="0" w:afterAutospacing="0"/>
        <w:jc w:val="both"/>
        <w:rPr>
          <w:rFonts w:ascii="Book Antiqua" w:hAnsi="Book Antiqua"/>
        </w:rPr>
      </w:pPr>
      <w:r w:rsidRPr="003C376D">
        <w:rPr>
          <w:rFonts w:ascii="Book Antiqua" w:hAnsi="Book Antiqua"/>
          <w:i/>
          <w:iCs/>
          <w:lang w:val="en-GB"/>
        </w:rPr>
        <w:t>Methotrexate</w:t>
      </w:r>
      <w:r w:rsidRPr="00CA34F8">
        <w:rPr>
          <w:rFonts w:ascii="Book Antiqua" w:hAnsi="Book Antiqua"/>
          <w:lang w:val="en-GB"/>
        </w:rPr>
        <w:t xml:space="preserve"> – Ibuprofen may decrease protein binding and / or renal elimination of methotrexate, resulting in increased and prolonged methotrexate plasma concentrations and an increased risk of toxicity, especially during high-dose methotrexate infusion therapy; fatalities have been reported; it is recommended that NSAID therapy be withheld for varying periods of time, depending on the elimination half-life of the individual NSAID [12 to 24 hours for agents with a short elimination half-life to up to 10 or 12 days for agents with a very long elimination half-life] prior to administration of a high-dose methotrexate infusion; also, NSAID therapy should not be resumed following the infusion until the methotrexate plasma concentration has decreased to a non-toxic level, usually at least 12 hours.</w:t>
      </w:r>
    </w:p>
    <w:p w:rsidR="00CA34F8" w:rsidRPr="00CA34F8" w:rsidRDefault="00CA34F8" w:rsidP="00CA34F8">
      <w:pPr>
        <w:pStyle w:val="NormalWeb"/>
        <w:spacing w:before="0" w:beforeAutospacing="0" w:after="0" w:afterAutospacing="0"/>
        <w:jc w:val="both"/>
        <w:rPr>
          <w:rFonts w:ascii="Book Antiqua" w:hAnsi="Book Antiqua"/>
        </w:rPr>
      </w:pPr>
      <w:r w:rsidRPr="00CA34F8">
        <w:rPr>
          <w:rFonts w:ascii="Book Antiqua" w:hAnsi="Book Antiqua"/>
          <w:lang w:val="en-GB"/>
        </w:rPr>
        <w:t>Severe, sometimes fatal, methotrexate toxicity has also been reported when NSAIDs were used concurrently with low to moderate doses of methotrexate, including doses commonly used in the treatment of rheumatoid arthritis or psoriasis; caution in concurrent use is recommended, with dosage of methotrexate being adjusted as determined by monitoring the plasma methotrexate concentration and / or adequacy of the patient's renal function)</w:t>
      </w:r>
    </w:p>
    <w:p w:rsidR="00CA34F8" w:rsidRPr="00CA34F8" w:rsidRDefault="00CA34F8" w:rsidP="00CA34F8">
      <w:pPr>
        <w:pStyle w:val="NormalWeb"/>
        <w:spacing w:before="0" w:beforeAutospacing="0" w:after="0" w:afterAutospacing="0"/>
        <w:jc w:val="both"/>
        <w:rPr>
          <w:rFonts w:ascii="Book Antiqua" w:hAnsi="Book Antiqua"/>
        </w:rPr>
      </w:pPr>
      <w:r w:rsidRPr="003C376D">
        <w:rPr>
          <w:rFonts w:ascii="Book Antiqua" w:hAnsi="Book Antiqua"/>
          <w:i/>
          <w:lang w:val="en-GB"/>
        </w:rPr>
        <w:t>Corticosteroids</w:t>
      </w:r>
      <w:r w:rsidRPr="00CA34F8">
        <w:rPr>
          <w:rFonts w:ascii="Book Antiqua" w:hAnsi="Book Antiqua"/>
          <w:lang w:val="en-GB"/>
        </w:rPr>
        <w:t xml:space="preserve"> – Concurrent use with an NSAID may increase the risk of gastrointestinal side effects, including ulceration or hemorrhage; however, concurrent use with a glucocorticoid or corticotropin in the treatment of arthritis may provide additional therapeutic benefit and permit reduction of glucocorticoid or corticotropin dosage.</w:t>
      </w:r>
    </w:p>
    <w:p w:rsidR="00EE4F42" w:rsidRPr="0055072C" w:rsidRDefault="00EE4F42" w:rsidP="00AC7907">
      <w:pPr>
        <w:pStyle w:val="NormalWeb"/>
        <w:spacing w:before="0" w:beforeAutospacing="0" w:after="0" w:afterAutospacing="0"/>
        <w:jc w:val="both"/>
        <w:rPr>
          <w:rFonts w:ascii="Book Antiqua" w:hAnsi="Book Antiqua"/>
          <w:b/>
          <w:bCs/>
          <w:lang w:val="en-GB"/>
        </w:rPr>
      </w:pPr>
    </w:p>
    <w:p w:rsidR="007E4E52" w:rsidRPr="003C376D" w:rsidRDefault="00D07D2B" w:rsidP="00AC7907">
      <w:pPr>
        <w:jc w:val="both"/>
        <w:rPr>
          <w:rFonts w:ascii="Book Antiqua" w:hAnsi="Book Antiqua"/>
          <w:b/>
          <w:caps/>
        </w:rPr>
      </w:pPr>
      <w:r w:rsidRPr="003C376D">
        <w:rPr>
          <w:rFonts w:ascii="Book Antiqua" w:hAnsi="Book Antiqua"/>
          <w:b/>
          <w:caps/>
        </w:rPr>
        <w:t>Recommended Dosage, Dosage Schedule and Route of Administration:</w:t>
      </w:r>
    </w:p>
    <w:p w:rsidR="003C376D" w:rsidRPr="003C376D" w:rsidRDefault="003C376D" w:rsidP="003C376D">
      <w:pPr>
        <w:jc w:val="both"/>
        <w:rPr>
          <w:rFonts w:ascii="Book Antiqua" w:hAnsi="Book Antiqua"/>
          <w:b/>
          <w:bCs/>
          <w:color w:val="000000"/>
        </w:rPr>
      </w:pPr>
      <w:r w:rsidRPr="003C376D">
        <w:rPr>
          <w:rFonts w:ascii="Book Antiqua" w:hAnsi="Book Antiqua"/>
          <w:b/>
          <w:bCs/>
          <w:color w:val="000000"/>
        </w:rPr>
        <w:t>Adults:</w:t>
      </w:r>
    </w:p>
    <w:p w:rsidR="003C376D" w:rsidRPr="003C376D" w:rsidRDefault="003C376D" w:rsidP="003C376D">
      <w:pPr>
        <w:jc w:val="both"/>
        <w:rPr>
          <w:rFonts w:ascii="Book Antiqua" w:hAnsi="Book Antiqua"/>
          <w:color w:val="000000"/>
        </w:rPr>
      </w:pPr>
      <w:r w:rsidRPr="003C376D">
        <w:rPr>
          <w:rFonts w:ascii="Book Antiqua" w:hAnsi="Book Antiqua"/>
          <w:b/>
          <w:bCs/>
          <w:i/>
          <w:iCs/>
          <w:color w:val="000000"/>
        </w:rPr>
        <w:t>Primary Dysmenorrhoea:</w:t>
      </w:r>
      <w:r w:rsidRPr="003C376D">
        <w:rPr>
          <w:rFonts w:ascii="Book Antiqua" w:hAnsi="Book Antiqua"/>
          <w:color w:val="000000"/>
        </w:rPr>
        <w:t xml:space="preserve"> Initially, 400 – 800 mg (one to two tablets) at the first sign of pain or menstrual bleeding, then 400 mg (one tablet) every 4 – 6 hours daily, with a maximum daily dose of 1600 mg.</w:t>
      </w:r>
    </w:p>
    <w:p w:rsidR="003C376D" w:rsidRDefault="003C376D" w:rsidP="003C376D">
      <w:pPr>
        <w:jc w:val="both"/>
        <w:rPr>
          <w:rFonts w:ascii="Book Antiqua" w:hAnsi="Book Antiqua"/>
          <w:color w:val="000000"/>
        </w:rPr>
      </w:pPr>
      <w:r w:rsidRPr="003C376D">
        <w:rPr>
          <w:rFonts w:ascii="Book Antiqua" w:hAnsi="Book Antiqua"/>
          <w:b/>
          <w:bCs/>
          <w:i/>
          <w:iCs/>
          <w:color w:val="000000"/>
        </w:rPr>
        <w:lastRenderedPageBreak/>
        <w:t>Mild to moderate pain:</w:t>
      </w:r>
      <w:r w:rsidRPr="003C376D">
        <w:rPr>
          <w:rFonts w:ascii="Book Antiqua" w:hAnsi="Book Antiqua"/>
          <w:color w:val="000000"/>
        </w:rPr>
        <w:t xml:space="preserve"> 400mg (one tablet) every 4–6 hours daily, as necessary for relief for pain. </w:t>
      </w:r>
    </w:p>
    <w:p w:rsidR="003C376D" w:rsidRPr="003C376D" w:rsidRDefault="003C376D" w:rsidP="003C376D">
      <w:pPr>
        <w:jc w:val="both"/>
        <w:rPr>
          <w:rFonts w:ascii="Book Antiqua" w:hAnsi="Book Antiqua"/>
          <w:color w:val="000000"/>
        </w:rPr>
      </w:pPr>
      <w:r w:rsidRPr="003C376D">
        <w:rPr>
          <w:rFonts w:ascii="Book Antiqua" w:hAnsi="Book Antiqua"/>
          <w:color w:val="000000"/>
        </w:rPr>
        <w:t>Maximum daily dose: 2400 mg</w:t>
      </w:r>
    </w:p>
    <w:p w:rsidR="003C376D" w:rsidRPr="003C376D" w:rsidRDefault="003C376D" w:rsidP="003C376D">
      <w:pPr>
        <w:jc w:val="both"/>
        <w:rPr>
          <w:rFonts w:ascii="Book Antiqua" w:hAnsi="Book Antiqua"/>
          <w:color w:val="000000"/>
        </w:rPr>
      </w:pPr>
      <w:r w:rsidRPr="003C376D">
        <w:rPr>
          <w:rFonts w:ascii="Book Antiqua" w:hAnsi="Book Antiqua"/>
          <w:b/>
          <w:bCs/>
          <w:i/>
          <w:iCs/>
          <w:color w:val="000000"/>
        </w:rPr>
        <w:t>Rheumatoid and osteoarthritis:</w:t>
      </w:r>
      <w:r w:rsidRPr="003C376D">
        <w:rPr>
          <w:rFonts w:ascii="Book Antiqua" w:hAnsi="Book Antiqua"/>
          <w:color w:val="000000"/>
        </w:rPr>
        <w:t xml:space="preserve"> In general, patients with rheumatoid and osteoarthritis tend to require higher doses than patients with other conditions. For acute exacerbations of rheumatoid and osteoarthritis in patients already on treatment with ibuprofen, a maximum daily dosage of 2400 mg may be prescribed, reverting to a maximum of 1600 mg daily once the patient is stabilised.</w:t>
      </w:r>
    </w:p>
    <w:p w:rsidR="003C376D" w:rsidRPr="003C376D" w:rsidRDefault="003C376D" w:rsidP="003C376D">
      <w:pPr>
        <w:jc w:val="both"/>
        <w:rPr>
          <w:rFonts w:ascii="Book Antiqua" w:hAnsi="Book Antiqua"/>
          <w:b/>
          <w:bCs/>
          <w:color w:val="000000"/>
        </w:rPr>
      </w:pPr>
      <w:r w:rsidRPr="003C376D">
        <w:rPr>
          <w:rFonts w:ascii="Book Antiqua" w:hAnsi="Book Antiqua"/>
          <w:b/>
          <w:bCs/>
          <w:color w:val="000000"/>
        </w:rPr>
        <w:t>If gastro-intestinal disturbances occur, ibuprofen should be given with food or milk.</w:t>
      </w:r>
    </w:p>
    <w:p w:rsidR="003C376D" w:rsidRPr="003C376D" w:rsidRDefault="003C376D" w:rsidP="003C376D">
      <w:pPr>
        <w:jc w:val="both"/>
        <w:rPr>
          <w:rFonts w:ascii="Book Antiqua" w:hAnsi="Book Antiqua"/>
          <w:color w:val="000000"/>
        </w:rPr>
      </w:pPr>
      <w:r w:rsidRPr="003C376D">
        <w:rPr>
          <w:rFonts w:ascii="Book Antiqua" w:hAnsi="Book Antiqua"/>
          <w:b/>
          <w:bCs/>
          <w:color w:val="000000"/>
        </w:rPr>
        <w:t xml:space="preserve">Geriatric: </w:t>
      </w:r>
      <w:r w:rsidRPr="003C376D">
        <w:rPr>
          <w:rFonts w:ascii="Book Antiqua" w:hAnsi="Book Antiqua"/>
          <w:color w:val="000000"/>
        </w:rPr>
        <w:t>In elderly patients receiving 600 – 1200 mg / day, ibuprofen appeared to be well tolerated. Some clinicians recommend that geriatric patients, especially those 70 years of age or older, be given one-half of the usual adult dose initially.</w:t>
      </w:r>
    </w:p>
    <w:p w:rsidR="00417710" w:rsidRPr="0055072C" w:rsidRDefault="00417710" w:rsidP="00AC7907">
      <w:pPr>
        <w:pStyle w:val="BodyTextIndent"/>
        <w:spacing w:after="0"/>
        <w:ind w:left="0"/>
        <w:jc w:val="both"/>
        <w:rPr>
          <w:rFonts w:ascii="Book Antiqua" w:hAnsi="Book Antiqua"/>
          <w:iCs/>
        </w:rPr>
      </w:pPr>
    </w:p>
    <w:p w:rsidR="00050D2D" w:rsidRPr="003C376D" w:rsidRDefault="00D07D2B" w:rsidP="00AC7907">
      <w:pPr>
        <w:pStyle w:val="BodyTextIndent"/>
        <w:spacing w:after="0"/>
        <w:ind w:left="0"/>
        <w:jc w:val="both"/>
        <w:rPr>
          <w:rFonts w:ascii="Book Antiqua" w:hAnsi="Book Antiqua"/>
          <w:b/>
          <w:iCs/>
          <w:caps/>
        </w:rPr>
      </w:pPr>
      <w:r w:rsidRPr="003C376D">
        <w:rPr>
          <w:rFonts w:ascii="Book Antiqua" w:hAnsi="Book Antiqua"/>
          <w:b/>
          <w:iCs/>
          <w:caps/>
        </w:rPr>
        <w:t xml:space="preserve">Symptoms and Treatment for </w:t>
      </w:r>
      <w:r w:rsidR="00CF5B45" w:rsidRPr="003C376D">
        <w:rPr>
          <w:rFonts w:ascii="Book Antiqua" w:hAnsi="Book Antiqua"/>
          <w:b/>
          <w:iCs/>
          <w:caps/>
        </w:rPr>
        <w:t>O</w:t>
      </w:r>
      <w:r w:rsidRPr="003C376D">
        <w:rPr>
          <w:rFonts w:ascii="Book Antiqua" w:hAnsi="Book Antiqua"/>
          <w:b/>
          <w:iCs/>
          <w:caps/>
        </w:rPr>
        <w:t>verdose</w:t>
      </w:r>
      <w:r w:rsidR="0080434D" w:rsidRPr="003C376D">
        <w:rPr>
          <w:rFonts w:ascii="Book Antiqua" w:hAnsi="Book Antiqua"/>
          <w:b/>
          <w:iCs/>
          <w:caps/>
        </w:rPr>
        <w:t>,</w:t>
      </w:r>
      <w:r w:rsidRPr="003C376D">
        <w:rPr>
          <w:rFonts w:ascii="Book Antiqua" w:hAnsi="Book Antiqua"/>
          <w:b/>
          <w:iCs/>
          <w:caps/>
        </w:rPr>
        <w:t xml:space="preserve"> and </w:t>
      </w:r>
      <w:r w:rsidR="00CF5B45" w:rsidRPr="003C376D">
        <w:rPr>
          <w:rFonts w:ascii="Book Antiqua" w:hAnsi="Book Antiqua"/>
          <w:b/>
          <w:iCs/>
          <w:caps/>
        </w:rPr>
        <w:t>A</w:t>
      </w:r>
      <w:r w:rsidRPr="003C376D">
        <w:rPr>
          <w:rFonts w:ascii="Book Antiqua" w:hAnsi="Book Antiqua"/>
          <w:b/>
          <w:iCs/>
          <w:caps/>
        </w:rPr>
        <w:t>ntidote</w:t>
      </w:r>
      <w:r w:rsidR="0080434D" w:rsidRPr="003C376D">
        <w:rPr>
          <w:rFonts w:ascii="Book Antiqua" w:hAnsi="Book Antiqua"/>
          <w:b/>
          <w:iCs/>
          <w:caps/>
        </w:rPr>
        <w:t>(</w:t>
      </w:r>
      <w:r w:rsidRPr="003C376D">
        <w:rPr>
          <w:rFonts w:ascii="Book Antiqua" w:hAnsi="Book Antiqua"/>
          <w:b/>
          <w:iCs/>
          <w:caps/>
        </w:rPr>
        <w:t>s</w:t>
      </w:r>
      <w:r w:rsidR="0080434D" w:rsidRPr="003C376D">
        <w:rPr>
          <w:rFonts w:ascii="Book Antiqua" w:hAnsi="Book Antiqua"/>
          <w:b/>
          <w:iCs/>
          <w:caps/>
        </w:rPr>
        <w:t>)</w:t>
      </w:r>
      <w:r w:rsidRPr="003C376D">
        <w:rPr>
          <w:rFonts w:ascii="Book Antiqua" w:hAnsi="Book Antiqua"/>
          <w:b/>
          <w:iCs/>
          <w:caps/>
        </w:rPr>
        <w:t>:</w:t>
      </w:r>
    </w:p>
    <w:p w:rsidR="003C376D" w:rsidRPr="003C376D" w:rsidRDefault="003C376D" w:rsidP="003C376D">
      <w:pPr>
        <w:jc w:val="both"/>
        <w:rPr>
          <w:rFonts w:ascii="Book Antiqua" w:hAnsi="Book Antiqua"/>
          <w:b/>
          <w:bCs/>
          <w:color w:val="000000"/>
        </w:rPr>
      </w:pPr>
      <w:r w:rsidRPr="003C376D">
        <w:rPr>
          <w:rFonts w:ascii="Book Antiqua" w:hAnsi="Book Antiqua"/>
          <w:b/>
          <w:bCs/>
          <w:color w:val="000000"/>
        </w:rPr>
        <w:t>Symptoms:</w:t>
      </w:r>
    </w:p>
    <w:p w:rsidR="003C376D" w:rsidRPr="003C376D" w:rsidRDefault="003C376D" w:rsidP="003C376D">
      <w:pPr>
        <w:jc w:val="both"/>
        <w:rPr>
          <w:rFonts w:ascii="Book Antiqua" w:hAnsi="Book Antiqua"/>
          <w:color w:val="000000"/>
        </w:rPr>
      </w:pPr>
      <w:r w:rsidRPr="003C376D">
        <w:rPr>
          <w:rFonts w:ascii="Book Antiqua" w:hAnsi="Book Antiqua"/>
          <w:color w:val="000000"/>
        </w:rPr>
        <w:t>Depression of the central nervous system and respiratory system may occur. Symptoms include apnea, cyanosis, and response only to painful stimuli, dizziness and nystagmus.</w:t>
      </w:r>
    </w:p>
    <w:p w:rsidR="003C376D" w:rsidRPr="003C376D" w:rsidRDefault="003C376D" w:rsidP="003C376D">
      <w:pPr>
        <w:jc w:val="both"/>
        <w:rPr>
          <w:rFonts w:ascii="Book Antiqua" w:hAnsi="Book Antiqua"/>
          <w:color w:val="000000"/>
        </w:rPr>
      </w:pPr>
      <w:r w:rsidRPr="003C376D">
        <w:rPr>
          <w:rFonts w:ascii="Book Antiqua" w:hAnsi="Book Antiqua"/>
          <w:b/>
          <w:bCs/>
          <w:color w:val="000000"/>
        </w:rPr>
        <w:t>Treatment:</w:t>
      </w:r>
    </w:p>
    <w:p w:rsidR="003C376D" w:rsidRPr="003C376D" w:rsidRDefault="003C376D" w:rsidP="003C376D">
      <w:pPr>
        <w:jc w:val="both"/>
        <w:rPr>
          <w:rFonts w:ascii="Book Antiqua" w:hAnsi="Book Antiqua"/>
          <w:color w:val="000000"/>
        </w:rPr>
      </w:pPr>
      <w:r w:rsidRPr="003C376D">
        <w:rPr>
          <w:rFonts w:ascii="Book Antiqua" w:hAnsi="Book Antiqua"/>
          <w:color w:val="000000"/>
        </w:rPr>
        <w:t>When acute overdosage of ibuprofen occurs, the stomach should be emptied by inducing emesis or by lavage, particularly if there is evidence that the drug has been ingested recently (within 1 hour), and standard measures to maintain urine output should be instituted. Since ibuprofen is acidic and is excreted in the urine, forced alkaline diuresis, might be beneficial.</w:t>
      </w:r>
    </w:p>
    <w:p w:rsidR="00CA34F8" w:rsidRPr="00CA34F8" w:rsidRDefault="00CA34F8" w:rsidP="00CA34F8">
      <w:pPr>
        <w:pStyle w:val="NormalWeb"/>
        <w:spacing w:before="0" w:beforeAutospacing="0" w:after="0" w:afterAutospacing="0"/>
        <w:jc w:val="both"/>
        <w:rPr>
          <w:rFonts w:ascii="Book Antiqua" w:hAnsi="Book Antiqua"/>
        </w:rPr>
      </w:pPr>
    </w:p>
    <w:p w:rsidR="00CA34F8" w:rsidRPr="00CA34F8" w:rsidRDefault="00CA34F8" w:rsidP="00CA34F8">
      <w:pPr>
        <w:pStyle w:val="BodyText"/>
        <w:pBdr>
          <w:top w:val="single" w:sz="4" w:space="1" w:color="auto"/>
          <w:left w:val="single" w:sz="4" w:space="4" w:color="auto"/>
          <w:bottom w:val="single" w:sz="4" w:space="1" w:color="auto"/>
          <w:right w:val="single" w:sz="4" w:space="4" w:color="auto"/>
        </w:pBdr>
        <w:spacing w:after="0"/>
        <w:jc w:val="center"/>
        <w:rPr>
          <w:rFonts w:ascii="Book Antiqua" w:hAnsi="Book Antiqua"/>
          <w:b/>
        </w:rPr>
      </w:pPr>
      <w:r w:rsidRPr="00CA34F8">
        <w:rPr>
          <w:rFonts w:ascii="Book Antiqua" w:hAnsi="Book Antiqua"/>
          <w:b/>
          <w:bCs/>
        </w:rPr>
        <w:t>WARNINGS</w:t>
      </w:r>
    </w:p>
    <w:p w:rsidR="00CA34F8" w:rsidRPr="00CA34F8" w:rsidRDefault="00CA34F8" w:rsidP="00CA34F8">
      <w:pPr>
        <w:pStyle w:val="BodyText"/>
        <w:pBdr>
          <w:top w:val="single" w:sz="4" w:space="1" w:color="auto"/>
          <w:left w:val="single" w:sz="4" w:space="4" w:color="auto"/>
          <w:bottom w:val="single" w:sz="4" w:space="1" w:color="auto"/>
          <w:right w:val="single" w:sz="4" w:space="4" w:color="auto"/>
        </w:pBdr>
        <w:spacing w:after="0"/>
        <w:jc w:val="center"/>
        <w:rPr>
          <w:rFonts w:ascii="Book Antiqua" w:hAnsi="Book Antiqua"/>
          <w:b/>
        </w:rPr>
      </w:pPr>
      <w:r w:rsidRPr="00CA34F8">
        <w:rPr>
          <w:rFonts w:ascii="Book Antiqua" w:hAnsi="Book Antiqua"/>
          <w:b/>
          <w:bCs/>
        </w:rPr>
        <w:t>RISK OF GI ULCERATION, BLEEDING AND PERFORATION WITH NSAID</w:t>
      </w:r>
    </w:p>
    <w:p w:rsidR="00CA34F8" w:rsidRPr="003C376D" w:rsidRDefault="00CA34F8" w:rsidP="00CA34F8">
      <w:pPr>
        <w:pStyle w:val="BodyText"/>
        <w:pBdr>
          <w:top w:val="single" w:sz="4" w:space="1" w:color="auto"/>
          <w:left w:val="single" w:sz="4" w:space="4" w:color="auto"/>
          <w:bottom w:val="single" w:sz="4" w:space="1" w:color="auto"/>
          <w:right w:val="single" w:sz="4" w:space="4" w:color="auto"/>
        </w:pBdr>
        <w:spacing w:after="0"/>
        <w:jc w:val="both"/>
        <w:rPr>
          <w:rFonts w:ascii="Book Antiqua" w:hAnsi="Book Antiqua"/>
          <w:b/>
        </w:rPr>
      </w:pPr>
      <w:r w:rsidRPr="003C376D">
        <w:rPr>
          <w:rFonts w:ascii="Book Antiqua" w:hAnsi="Book Antiqua"/>
          <w:b/>
          <w:bCs/>
        </w:rPr>
        <w:t>Serious GI toxicity such as bleeding, ulceration and perforation can occur at any time, with or without warning symptoms, in patients treated with NSAID therapy.</w:t>
      </w:r>
    </w:p>
    <w:p w:rsidR="00CA34F8" w:rsidRPr="003C376D" w:rsidRDefault="00CA34F8" w:rsidP="00CA34F8">
      <w:pPr>
        <w:pStyle w:val="BodyText"/>
        <w:pBdr>
          <w:top w:val="single" w:sz="4" w:space="1" w:color="auto"/>
          <w:left w:val="single" w:sz="4" w:space="4" w:color="auto"/>
          <w:bottom w:val="single" w:sz="4" w:space="1" w:color="auto"/>
          <w:right w:val="single" w:sz="4" w:space="4" w:color="auto"/>
        </w:pBdr>
        <w:spacing w:after="0"/>
        <w:jc w:val="both"/>
        <w:rPr>
          <w:rFonts w:ascii="Book Antiqua" w:hAnsi="Book Antiqua"/>
          <w:b/>
        </w:rPr>
      </w:pPr>
      <w:r w:rsidRPr="003C376D">
        <w:rPr>
          <w:rFonts w:ascii="Book Antiqua" w:hAnsi="Book Antiqua"/>
          <w:b/>
          <w:bCs/>
        </w:rPr>
        <w:t>Although minor upper GI problems (e.g. dyspepsia) are common, usually developing early in therapy, prescribers should remain alert for ulceration and bleeding in patients treated with NSAIDs even in the absence of previous GI tract symptoms.</w:t>
      </w:r>
    </w:p>
    <w:p w:rsidR="00CA34F8" w:rsidRPr="003C376D" w:rsidRDefault="00CA34F8" w:rsidP="00CA34F8">
      <w:pPr>
        <w:pStyle w:val="BodyText"/>
        <w:pBdr>
          <w:top w:val="single" w:sz="4" w:space="1" w:color="auto"/>
          <w:left w:val="single" w:sz="4" w:space="4" w:color="auto"/>
          <w:bottom w:val="single" w:sz="4" w:space="1" w:color="auto"/>
          <w:right w:val="single" w:sz="4" w:space="4" w:color="auto"/>
        </w:pBdr>
        <w:spacing w:after="0"/>
        <w:jc w:val="both"/>
        <w:rPr>
          <w:rFonts w:ascii="Book Antiqua" w:hAnsi="Book Antiqua"/>
          <w:b/>
        </w:rPr>
      </w:pPr>
      <w:r w:rsidRPr="003C376D">
        <w:rPr>
          <w:rFonts w:ascii="Book Antiqua" w:hAnsi="Book Antiqua"/>
          <w:b/>
          <w:bCs/>
        </w:rPr>
        <w:t xml:space="preserve">Studies to date have not identified any subset of patients not at risk of developing peptic ulceration and bleeding. Patients with prior history of serious GI events and other risk factors associated with peptic ulcer disease (e.g. alcoholism, smoking, corticosteroid therapy) are at increased risk. Elderly or debilitated patients seem to tolerate ulceration or bleeding less than other individuals and account for most spontaneous reports for fatal GI events. </w:t>
      </w:r>
    </w:p>
    <w:p w:rsidR="00EE4F42" w:rsidRDefault="00EE4F42" w:rsidP="00AC7907">
      <w:pPr>
        <w:jc w:val="both"/>
        <w:rPr>
          <w:rFonts w:ascii="Book Antiqua" w:hAnsi="Book Antiqua"/>
          <w:color w:val="000000"/>
        </w:rPr>
      </w:pPr>
    </w:p>
    <w:p w:rsidR="00260BD0" w:rsidRPr="00260BD0" w:rsidRDefault="00260BD0" w:rsidP="00260BD0">
      <w:pPr>
        <w:jc w:val="both"/>
        <w:rPr>
          <w:rFonts w:ascii="Book Antiqua" w:hAnsi="Book Antiqua"/>
          <w:caps/>
        </w:rPr>
      </w:pPr>
      <w:r w:rsidRPr="00260BD0">
        <w:rPr>
          <w:rFonts w:ascii="Book Antiqua" w:hAnsi="Book Antiqua"/>
          <w:b/>
          <w:caps/>
        </w:rPr>
        <w:t>Packing / Pack Sizes:</w:t>
      </w:r>
    </w:p>
    <w:p w:rsidR="00260BD0" w:rsidRDefault="00260BD0" w:rsidP="00260BD0">
      <w:pPr>
        <w:jc w:val="both"/>
        <w:rPr>
          <w:rFonts w:ascii="Book Antiqua" w:hAnsi="Book Antiqua"/>
          <w:szCs w:val="20"/>
        </w:rPr>
      </w:pPr>
      <w:r>
        <w:rPr>
          <w:rFonts w:ascii="Book Antiqua" w:hAnsi="Book Antiqua"/>
          <w:szCs w:val="20"/>
        </w:rPr>
        <w:t xml:space="preserve"> Blister-pack of 10’s, 10x10’s/box and 100x10’s/box.</w:t>
      </w:r>
    </w:p>
    <w:p w:rsidR="00260BD0" w:rsidRDefault="00260BD0" w:rsidP="00AC7907">
      <w:pPr>
        <w:jc w:val="both"/>
        <w:rPr>
          <w:rFonts w:ascii="Book Antiqua" w:hAnsi="Book Antiqua"/>
          <w:color w:val="000000"/>
        </w:rPr>
      </w:pPr>
    </w:p>
    <w:p w:rsidR="00260BD0" w:rsidRDefault="00260BD0" w:rsidP="00AC7907">
      <w:pPr>
        <w:jc w:val="both"/>
        <w:rPr>
          <w:rFonts w:ascii="Book Antiqua" w:hAnsi="Book Antiqua"/>
          <w:color w:val="000000"/>
        </w:rPr>
      </w:pPr>
    </w:p>
    <w:p w:rsidR="00CA34F8" w:rsidRPr="003C376D" w:rsidRDefault="00CA34F8" w:rsidP="00CA34F8">
      <w:pPr>
        <w:jc w:val="both"/>
        <w:rPr>
          <w:rFonts w:ascii="Book Antiqua" w:hAnsi="Book Antiqua"/>
          <w:b/>
          <w:caps/>
        </w:rPr>
      </w:pPr>
      <w:r w:rsidRPr="003C376D">
        <w:rPr>
          <w:rFonts w:ascii="Book Antiqua" w:hAnsi="Book Antiqua"/>
          <w:b/>
          <w:caps/>
        </w:rPr>
        <w:lastRenderedPageBreak/>
        <w:t>Storage Conditions, User Instructions and Pharmaceutical Precautions:</w:t>
      </w:r>
    </w:p>
    <w:p w:rsidR="00CA34F8" w:rsidRPr="00CA34F8" w:rsidRDefault="00CA34F8" w:rsidP="00CA34F8">
      <w:pPr>
        <w:pStyle w:val="NormalWeb"/>
        <w:spacing w:before="0" w:beforeAutospacing="0" w:after="0" w:afterAutospacing="0"/>
        <w:jc w:val="both"/>
        <w:rPr>
          <w:rFonts w:ascii="Book Antiqua" w:hAnsi="Book Antiqua"/>
        </w:rPr>
      </w:pPr>
      <w:r w:rsidRPr="00CA34F8">
        <w:rPr>
          <w:rFonts w:ascii="Book Antiqua" w:hAnsi="Book Antiqua"/>
          <w:lang w:val="en-GB"/>
        </w:rPr>
        <w:t>KEEP ALL MEDICINES OUT OF REACH OF CHILDREN.</w:t>
      </w:r>
    </w:p>
    <w:p w:rsidR="00CA34F8" w:rsidRPr="00202B96" w:rsidRDefault="00CA34F8" w:rsidP="00202B96">
      <w:pPr>
        <w:pStyle w:val="NormalWeb"/>
        <w:spacing w:before="0" w:beforeAutospacing="0" w:after="0" w:afterAutospacing="0"/>
        <w:jc w:val="both"/>
        <w:rPr>
          <w:rFonts w:ascii="Book Antiqua" w:hAnsi="Book Antiqua"/>
          <w:caps/>
        </w:rPr>
      </w:pPr>
      <w:r w:rsidRPr="00202B96">
        <w:rPr>
          <w:rFonts w:ascii="Book Antiqua" w:hAnsi="Book Antiqua"/>
          <w:caps/>
        </w:rPr>
        <w:t xml:space="preserve">Store below </w:t>
      </w:r>
      <w:r w:rsidR="00D92B19">
        <w:rPr>
          <w:rFonts w:ascii="Book Antiqua" w:hAnsi="Book Antiqua"/>
          <w:caps/>
        </w:rPr>
        <w:t>30</w:t>
      </w:r>
      <w:r w:rsidRPr="00202B96">
        <w:rPr>
          <w:rFonts w:ascii="Book Antiqua" w:hAnsi="Book Antiqua"/>
          <w:caps/>
        </w:rPr>
        <w:t>°C in closed container.</w:t>
      </w:r>
      <w:r w:rsidR="00202B96" w:rsidRPr="00202B96">
        <w:rPr>
          <w:rFonts w:ascii="Book Antiqua" w:hAnsi="Book Antiqua"/>
          <w:caps/>
        </w:rPr>
        <w:t xml:space="preserve"> </w:t>
      </w:r>
      <w:r w:rsidRPr="00202B96">
        <w:rPr>
          <w:rFonts w:ascii="Book Antiqua" w:hAnsi="Book Antiqua"/>
          <w:caps/>
        </w:rPr>
        <w:t>Protect from direct light and heat.</w:t>
      </w:r>
    </w:p>
    <w:p w:rsidR="00CF5B45" w:rsidRPr="0055072C" w:rsidRDefault="00CF5B45" w:rsidP="00AC7907">
      <w:pPr>
        <w:pStyle w:val="BodyTextIndent"/>
        <w:spacing w:after="0"/>
        <w:ind w:left="0"/>
        <w:jc w:val="both"/>
        <w:rPr>
          <w:rFonts w:ascii="Book Antiqua" w:hAnsi="Book Antiqua"/>
          <w:b/>
          <w:iCs/>
        </w:rPr>
      </w:pPr>
    </w:p>
    <w:p w:rsidR="00AA3881" w:rsidRPr="0055072C" w:rsidRDefault="006240AA" w:rsidP="00AC7907">
      <w:pPr>
        <w:pStyle w:val="BodyTextIndent"/>
        <w:spacing w:after="0"/>
        <w:ind w:left="0"/>
        <w:jc w:val="both"/>
        <w:rPr>
          <w:rFonts w:ascii="Book Antiqua" w:hAnsi="Book Antiqua"/>
          <w:iCs/>
        </w:rPr>
      </w:pPr>
      <w:r w:rsidRPr="00202B96">
        <w:rPr>
          <w:rFonts w:ascii="Book Antiqua" w:hAnsi="Book Antiqua"/>
          <w:b/>
          <w:iCs/>
          <w:caps/>
        </w:rPr>
        <w:t>Shelf life:</w:t>
      </w:r>
      <w:r w:rsidRPr="0055072C">
        <w:rPr>
          <w:rFonts w:ascii="Book Antiqua" w:hAnsi="Book Antiqua"/>
          <w:iCs/>
        </w:rPr>
        <w:t xml:space="preserve"> </w:t>
      </w:r>
      <w:r w:rsidR="00CA34F8">
        <w:rPr>
          <w:rFonts w:ascii="Book Antiqua" w:hAnsi="Book Antiqua"/>
          <w:iCs/>
        </w:rPr>
        <w:t>3</w:t>
      </w:r>
      <w:r w:rsidRPr="0055072C">
        <w:rPr>
          <w:rFonts w:ascii="Book Antiqua" w:hAnsi="Book Antiqua"/>
          <w:iCs/>
        </w:rPr>
        <w:t xml:space="preserve"> years</w:t>
      </w:r>
    </w:p>
    <w:p w:rsidR="00E10DB0" w:rsidRPr="0055072C" w:rsidRDefault="00E10DB0" w:rsidP="00AC7907">
      <w:pPr>
        <w:pStyle w:val="BodyTextIndent"/>
        <w:spacing w:after="0"/>
        <w:ind w:left="0"/>
        <w:jc w:val="both"/>
        <w:rPr>
          <w:rFonts w:ascii="Book Antiqua" w:hAnsi="Book Antiqua"/>
          <w:iCs/>
        </w:rPr>
      </w:pPr>
    </w:p>
    <w:p w:rsidR="006240AA" w:rsidRPr="00202B96" w:rsidRDefault="006240AA" w:rsidP="00AC7907">
      <w:pPr>
        <w:pStyle w:val="BodyTextIndent"/>
        <w:spacing w:after="0"/>
        <w:ind w:left="0"/>
        <w:jc w:val="both"/>
        <w:rPr>
          <w:rFonts w:ascii="Book Antiqua" w:hAnsi="Book Antiqua"/>
          <w:b/>
          <w:iCs/>
          <w:caps/>
        </w:rPr>
      </w:pPr>
      <w:r w:rsidRPr="00202B96">
        <w:rPr>
          <w:rFonts w:ascii="Book Antiqua" w:hAnsi="Book Antiqua"/>
          <w:b/>
          <w:iCs/>
          <w:caps/>
        </w:rPr>
        <w:t>Name and Address of Manufacturer</w:t>
      </w:r>
      <w:r w:rsidR="00202B96">
        <w:rPr>
          <w:rFonts w:ascii="Book Antiqua" w:hAnsi="Book Antiqua"/>
          <w:b/>
          <w:iCs/>
          <w:caps/>
        </w:rPr>
        <w:t xml:space="preserve"> and distributor in </w:t>
      </w:r>
      <w:smartTag w:uri="urn:schemas-microsoft-com:office:smarttags" w:element="country-region">
        <w:smartTag w:uri="urn:schemas-microsoft-com:office:smarttags" w:element="place">
          <w:r w:rsidR="00202B96">
            <w:rPr>
              <w:rFonts w:ascii="Book Antiqua" w:hAnsi="Book Antiqua"/>
              <w:b/>
              <w:iCs/>
              <w:caps/>
            </w:rPr>
            <w:t>malaysia</w:t>
          </w:r>
        </w:smartTag>
      </w:smartTag>
      <w:r w:rsidRPr="00202B96">
        <w:rPr>
          <w:rFonts w:ascii="Book Antiqua" w:hAnsi="Book Antiqua"/>
          <w:b/>
          <w:iCs/>
          <w:caps/>
        </w:rPr>
        <w:t>:</w:t>
      </w:r>
    </w:p>
    <w:p w:rsidR="005B0CCB" w:rsidRPr="0055072C" w:rsidRDefault="005B0CCB" w:rsidP="00AC7907">
      <w:pPr>
        <w:pStyle w:val="BodyTextIndent"/>
        <w:spacing w:after="0"/>
        <w:ind w:left="720" w:hanging="720"/>
        <w:jc w:val="both"/>
        <w:rPr>
          <w:rFonts w:ascii="Book Antiqua" w:hAnsi="Book Antiqua"/>
          <w:iCs/>
        </w:rPr>
      </w:pPr>
      <w:r w:rsidRPr="0055072C">
        <w:rPr>
          <w:rFonts w:ascii="Book Antiqua" w:hAnsi="Book Antiqua"/>
          <w:iCs/>
        </w:rPr>
        <w:t xml:space="preserve">SM PHARMACEUTICALS SDN BHD (218620-M) </w:t>
      </w:r>
    </w:p>
    <w:p w:rsidR="005B0CCB" w:rsidRPr="0055072C" w:rsidRDefault="005B0CCB" w:rsidP="00AC7907">
      <w:pPr>
        <w:pStyle w:val="BodyTextIndent"/>
        <w:spacing w:after="0"/>
        <w:ind w:left="720" w:hanging="720"/>
        <w:jc w:val="both"/>
        <w:rPr>
          <w:rFonts w:ascii="Book Antiqua" w:hAnsi="Book Antiqua"/>
          <w:iCs/>
        </w:rPr>
      </w:pPr>
      <w:smartTag w:uri="urn:schemas-microsoft-com:office:smarttags" w:element="place">
        <w:r w:rsidRPr="0055072C">
          <w:rPr>
            <w:rFonts w:ascii="Book Antiqua" w:hAnsi="Book Antiqua"/>
            <w:iCs/>
          </w:rPr>
          <w:t>Lot</w:t>
        </w:r>
      </w:smartTag>
      <w:r w:rsidRPr="0055072C">
        <w:rPr>
          <w:rFonts w:ascii="Book Antiqua" w:hAnsi="Book Antiqua"/>
          <w:iCs/>
        </w:rPr>
        <w:t xml:space="preserve"> 88, Sungai Petani Industrial Estate</w:t>
      </w:r>
    </w:p>
    <w:p w:rsidR="00CF5B45" w:rsidRPr="0055072C" w:rsidRDefault="005B0CCB" w:rsidP="00AC7907">
      <w:pPr>
        <w:pStyle w:val="BodyTextIndent"/>
        <w:spacing w:after="0"/>
        <w:ind w:left="720" w:hanging="720"/>
        <w:jc w:val="both"/>
        <w:rPr>
          <w:rFonts w:ascii="Book Antiqua" w:hAnsi="Book Antiqua"/>
          <w:iCs/>
        </w:rPr>
      </w:pPr>
      <w:r w:rsidRPr="0055072C">
        <w:rPr>
          <w:rFonts w:ascii="Book Antiqua" w:hAnsi="Book Antiqua"/>
          <w:iCs/>
        </w:rPr>
        <w:t>08000 Sungai Petani</w:t>
      </w:r>
      <w:r w:rsidR="00B77539" w:rsidRPr="0055072C">
        <w:rPr>
          <w:rFonts w:ascii="Book Antiqua" w:hAnsi="Book Antiqua"/>
          <w:iCs/>
        </w:rPr>
        <w:t xml:space="preserve">, </w:t>
      </w:r>
    </w:p>
    <w:p w:rsidR="00CA34F8" w:rsidRDefault="005B0CCB" w:rsidP="00AC7907">
      <w:pPr>
        <w:pStyle w:val="BodyTextIndent"/>
        <w:spacing w:after="0"/>
        <w:ind w:left="720" w:hanging="720"/>
        <w:jc w:val="both"/>
        <w:rPr>
          <w:rFonts w:ascii="Book Antiqua" w:hAnsi="Book Antiqua"/>
          <w:iCs/>
        </w:rPr>
      </w:pPr>
      <w:r w:rsidRPr="0055072C">
        <w:rPr>
          <w:rFonts w:ascii="Book Antiqua" w:hAnsi="Book Antiqua"/>
          <w:iCs/>
        </w:rPr>
        <w:t>Kedah Darul Aman,</w:t>
      </w:r>
      <w:r w:rsidR="0072243A" w:rsidRPr="0055072C">
        <w:rPr>
          <w:rFonts w:ascii="Book Antiqua" w:hAnsi="Book Antiqua"/>
          <w:iCs/>
        </w:rPr>
        <w:t xml:space="preserve"> </w:t>
      </w:r>
    </w:p>
    <w:p w:rsidR="00953BD4" w:rsidRDefault="005B0CCB" w:rsidP="00AC7907">
      <w:pPr>
        <w:pStyle w:val="BodyTextIndent"/>
        <w:spacing w:after="0"/>
        <w:ind w:left="720" w:hanging="720"/>
        <w:jc w:val="both"/>
        <w:rPr>
          <w:rFonts w:ascii="Book Antiqua" w:hAnsi="Book Antiqua"/>
          <w:iCs/>
        </w:rPr>
      </w:pPr>
      <w:smartTag w:uri="urn:schemas-microsoft-com:office:smarttags" w:element="country-region">
        <w:smartTag w:uri="urn:schemas-microsoft-com:office:smarttags" w:element="place">
          <w:r w:rsidRPr="0055072C">
            <w:rPr>
              <w:rFonts w:ascii="Book Antiqua" w:hAnsi="Book Antiqua"/>
              <w:iCs/>
            </w:rPr>
            <w:t>Malaysia</w:t>
          </w:r>
        </w:smartTag>
      </w:smartTag>
      <w:r w:rsidRPr="0055072C">
        <w:rPr>
          <w:rFonts w:ascii="Book Antiqua" w:hAnsi="Book Antiqua"/>
          <w:iCs/>
        </w:rPr>
        <w:t>.</w:t>
      </w:r>
    </w:p>
    <w:p w:rsidR="00E92AA9" w:rsidRDefault="00E92AA9" w:rsidP="00AC7907">
      <w:pPr>
        <w:pStyle w:val="BodyTextIndent"/>
        <w:spacing w:after="0"/>
        <w:ind w:left="720" w:hanging="720"/>
        <w:jc w:val="both"/>
        <w:rPr>
          <w:rFonts w:ascii="Book Antiqua" w:hAnsi="Book Antiqua"/>
          <w:iCs/>
        </w:rPr>
      </w:pPr>
    </w:p>
    <w:p w:rsidR="00E92AA9" w:rsidRPr="0055072C" w:rsidRDefault="00FD7148" w:rsidP="00AC7907">
      <w:pPr>
        <w:pStyle w:val="BodyTextIndent"/>
        <w:spacing w:after="0"/>
        <w:ind w:left="720" w:hanging="720"/>
        <w:jc w:val="both"/>
        <w:rPr>
          <w:rFonts w:ascii="Book Antiqua" w:hAnsi="Book Antiqua"/>
          <w:iCs/>
        </w:rPr>
      </w:pPr>
      <w:r>
        <w:rPr>
          <w:rFonts w:ascii="Book Antiqua" w:hAnsi="Book Antiqua"/>
          <w:iCs/>
        </w:rPr>
        <w:t>10.08.2017</w:t>
      </w:r>
    </w:p>
    <w:sectPr w:rsidR="00E92AA9" w:rsidRPr="0055072C" w:rsidSect="00E21340">
      <w:headerReference w:type="default" r:id="rId7"/>
      <w:pgSz w:w="12240" w:h="15840"/>
      <w:pgMar w:top="1620" w:right="108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47B" w:rsidRDefault="00F0547B">
      <w:r>
        <w:separator/>
      </w:r>
    </w:p>
  </w:endnote>
  <w:endnote w:type="continuationSeparator" w:id="1">
    <w:p w:rsidR="00F0547B" w:rsidRDefault="00F054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47B" w:rsidRDefault="00F0547B">
      <w:r>
        <w:separator/>
      </w:r>
    </w:p>
  </w:footnote>
  <w:footnote w:type="continuationSeparator" w:id="1">
    <w:p w:rsidR="00F0547B" w:rsidRDefault="00F054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F9" w:rsidRDefault="00150AF9" w:rsidP="0072243A">
    <w:pPr>
      <w:pStyle w:val="Header"/>
      <w:tabs>
        <w:tab w:val="clear" w:pos="4320"/>
        <w:tab w:val="clear" w:pos="8640"/>
      </w:tabs>
      <w:jc w:val="right"/>
      <w:rPr>
        <w:rFonts w:ascii="Book Antiqua" w:hAnsi="Book Antiqua"/>
      </w:rPr>
    </w:pPr>
    <w:r>
      <w:rPr>
        <w:rFonts w:ascii="Book Antiqua" w:hAnsi="Book Antiqua"/>
      </w:rPr>
      <w:t>Package Insert</w:t>
    </w:r>
  </w:p>
  <w:p w:rsidR="00150AF9" w:rsidRPr="00E21340" w:rsidRDefault="00150AF9" w:rsidP="00786197">
    <w:pPr>
      <w:pStyle w:val="Header"/>
      <w:tabs>
        <w:tab w:val="clear" w:pos="4320"/>
        <w:tab w:val="clear" w:pos="8640"/>
      </w:tabs>
      <w:jc w:val="right"/>
      <w:rPr>
        <w:rFonts w:ascii="Book Antiqua" w:hAnsi="Book Antiqua"/>
      </w:rPr>
    </w:pPr>
    <w:r w:rsidRPr="00E21340">
      <w:rPr>
        <w:rFonts w:ascii="Book Antiqua" w:hAnsi="Book Antiqua"/>
      </w:rPr>
      <w:t xml:space="preserve">Page </w:t>
    </w:r>
    <w:r w:rsidR="00C846A8" w:rsidRPr="00E21340">
      <w:rPr>
        <w:rFonts w:ascii="Book Antiqua" w:hAnsi="Book Antiqua"/>
      </w:rPr>
      <w:fldChar w:fldCharType="begin"/>
    </w:r>
    <w:r w:rsidRPr="00E21340">
      <w:rPr>
        <w:rFonts w:ascii="Book Antiqua" w:hAnsi="Book Antiqua"/>
      </w:rPr>
      <w:instrText xml:space="preserve"> PAGE </w:instrText>
    </w:r>
    <w:r w:rsidR="00C846A8" w:rsidRPr="00E21340">
      <w:rPr>
        <w:rFonts w:ascii="Book Antiqua" w:hAnsi="Book Antiqua"/>
      </w:rPr>
      <w:fldChar w:fldCharType="separate"/>
    </w:r>
    <w:r w:rsidR="00FD7148">
      <w:rPr>
        <w:rFonts w:ascii="Book Antiqua" w:hAnsi="Book Antiqua"/>
        <w:noProof/>
      </w:rPr>
      <w:t>1</w:t>
    </w:r>
    <w:r w:rsidR="00C846A8" w:rsidRPr="00E21340">
      <w:rPr>
        <w:rFonts w:ascii="Book Antiqua" w:hAnsi="Book Antiqua"/>
      </w:rPr>
      <w:fldChar w:fldCharType="end"/>
    </w:r>
    <w:r w:rsidRPr="00E21340">
      <w:rPr>
        <w:rFonts w:ascii="Book Antiqua" w:hAnsi="Book Antiqua"/>
      </w:rPr>
      <w:t xml:space="preserve"> of </w:t>
    </w:r>
    <w:r>
      <w:rPr>
        <w:rFonts w:ascii="Book Antiqua" w:hAnsi="Book Antiqua"/>
      </w:rPr>
      <w:t>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783CA6"/>
    <w:multiLevelType w:val="hybridMultilevel"/>
    <w:tmpl w:val="BBA2E4F0"/>
    <w:lvl w:ilvl="0" w:tplc="04090019">
      <w:start w:val="2"/>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rsids>
    <w:rsidRoot w:val="00E21340"/>
    <w:rsid w:val="00050D2D"/>
    <w:rsid w:val="00065230"/>
    <w:rsid w:val="00071720"/>
    <w:rsid w:val="00084ABB"/>
    <w:rsid w:val="00094F6A"/>
    <w:rsid w:val="00150AF9"/>
    <w:rsid w:val="00182120"/>
    <w:rsid w:val="001869CE"/>
    <w:rsid w:val="00196C2E"/>
    <w:rsid w:val="001A35C0"/>
    <w:rsid w:val="00202B96"/>
    <w:rsid w:val="00221262"/>
    <w:rsid w:val="00225AE6"/>
    <w:rsid w:val="0025456A"/>
    <w:rsid w:val="00260BD0"/>
    <w:rsid w:val="002A2C13"/>
    <w:rsid w:val="002C694C"/>
    <w:rsid w:val="002F2970"/>
    <w:rsid w:val="00304DCD"/>
    <w:rsid w:val="003273C9"/>
    <w:rsid w:val="0036448B"/>
    <w:rsid w:val="003C376D"/>
    <w:rsid w:val="003C6B11"/>
    <w:rsid w:val="003E08D4"/>
    <w:rsid w:val="003F032F"/>
    <w:rsid w:val="003F640E"/>
    <w:rsid w:val="00417710"/>
    <w:rsid w:val="00447B88"/>
    <w:rsid w:val="004577B6"/>
    <w:rsid w:val="0048419D"/>
    <w:rsid w:val="004D51F1"/>
    <w:rsid w:val="0051122D"/>
    <w:rsid w:val="0052628D"/>
    <w:rsid w:val="0053448F"/>
    <w:rsid w:val="00536027"/>
    <w:rsid w:val="005370B7"/>
    <w:rsid w:val="0055072C"/>
    <w:rsid w:val="0056121F"/>
    <w:rsid w:val="00572EBC"/>
    <w:rsid w:val="00597738"/>
    <w:rsid w:val="005B0CCB"/>
    <w:rsid w:val="005B4007"/>
    <w:rsid w:val="005D5600"/>
    <w:rsid w:val="005E7213"/>
    <w:rsid w:val="006240AA"/>
    <w:rsid w:val="00627289"/>
    <w:rsid w:val="0062773A"/>
    <w:rsid w:val="0065379D"/>
    <w:rsid w:val="006803D3"/>
    <w:rsid w:val="0068522C"/>
    <w:rsid w:val="00694DCC"/>
    <w:rsid w:val="00705D2D"/>
    <w:rsid w:val="0072243A"/>
    <w:rsid w:val="007422A4"/>
    <w:rsid w:val="00786197"/>
    <w:rsid w:val="007E0E78"/>
    <w:rsid w:val="007E4E52"/>
    <w:rsid w:val="007E64B3"/>
    <w:rsid w:val="008010C0"/>
    <w:rsid w:val="00803755"/>
    <w:rsid w:val="0080434D"/>
    <w:rsid w:val="008405CE"/>
    <w:rsid w:val="008430A3"/>
    <w:rsid w:val="00850413"/>
    <w:rsid w:val="00856A60"/>
    <w:rsid w:val="0088298D"/>
    <w:rsid w:val="008B6F41"/>
    <w:rsid w:val="008D41A0"/>
    <w:rsid w:val="008F2F02"/>
    <w:rsid w:val="00903D1B"/>
    <w:rsid w:val="00923AC3"/>
    <w:rsid w:val="009330E2"/>
    <w:rsid w:val="00952907"/>
    <w:rsid w:val="00953BD4"/>
    <w:rsid w:val="009842AD"/>
    <w:rsid w:val="00991788"/>
    <w:rsid w:val="009C512F"/>
    <w:rsid w:val="009D326F"/>
    <w:rsid w:val="009E70B8"/>
    <w:rsid w:val="00A12B6A"/>
    <w:rsid w:val="00A154C4"/>
    <w:rsid w:val="00A44041"/>
    <w:rsid w:val="00A6347F"/>
    <w:rsid w:val="00AA3881"/>
    <w:rsid w:val="00AA4380"/>
    <w:rsid w:val="00AB04A5"/>
    <w:rsid w:val="00AC7907"/>
    <w:rsid w:val="00AD4436"/>
    <w:rsid w:val="00AE0CEB"/>
    <w:rsid w:val="00B17D7D"/>
    <w:rsid w:val="00B2002E"/>
    <w:rsid w:val="00B30736"/>
    <w:rsid w:val="00B57180"/>
    <w:rsid w:val="00B615A6"/>
    <w:rsid w:val="00B761C6"/>
    <w:rsid w:val="00B77539"/>
    <w:rsid w:val="00B936E6"/>
    <w:rsid w:val="00B93797"/>
    <w:rsid w:val="00B97230"/>
    <w:rsid w:val="00C178C5"/>
    <w:rsid w:val="00C558F8"/>
    <w:rsid w:val="00C65A8B"/>
    <w:rsid w:val="00C75179"/>
    <w:rsid w:val="00C76807"/>
    <w:rsid w:val="00C846A8"/>
    <w:rsid w:val="00CA34F8"/>
    <w:rsid w:val="00CF0692"/>
    <w:rsid w:val="00CF5B45"/>
    <w:rsid w:val="00D07D2B"/>
    <w:rsid w:val="00D22639"/>
    <w:rsid w:val="00D402BE"/>
    <w:rsid w:val="00D6175E"/>
    <w:rsid w:val="00D84764"/>
    <w:rsid w:val="00D92B19"/>
    <w:rsid w:val="00DC265D"/>
    <w:rsid w:val="00DD3441"/>
    <w:rsid w:val="00DD6A02"/>
    <w:rsid w:val="00E10DB0"/>
    <w:rsid w:val="00E21340"/>
    <w:rsid w:val="00E32CD7"/>
    <w:rsid w:val="00E345B9"/>
    <w:rsid w:val="00E644FE"/>
    <w:rsid w:val="00E70097"/>
    <w:rsid w:val="00E709A8"/>
    <w:rsid w:val="00E802EE"/>
    <w:rsid w:val="00E92AA9"/>
    <w:rsid w:val="00EB530E"/>
    <w:rsid w:val="00EE4026"/>
    <w:rsid w:val="00EE4F42"/>
    <w:rsid w:val="00F01959"/>
    <w:rsid w:val="00F04B84"/>
    <w:rsid w:val="00F0547B"/>
    <w:rsid w:val="00F461A0"/>
    <w:rsid w:val="00F57CC2"/>
    <w:rsid w:val="00FA7E93"/>
    <w:rsid w:val="00FB3E4E"/>
    <w:rsid w:val="00FC1C0C"/>
    <w:rsid w:val="00FD71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46A8"/>
    <w:rPr>
      <w:sz w:val="24"/>
      <w:szCs w:val="24"/>
      <w:lang w:val="en-GB"/>
    </w:rPr>
  </w:style>
  <w:style w:type="paragraph" w:styleId="Heading2">
    <w:name w:val="heading 2"/>
    <w:basedOn w:val="Normal"/>
    <w:next w:val="Normal"/>
    <w:qFormat/>
    <w:rsid w:val="00AA3881"/>
    <w:pPr>
      <w:keepNext/>
      <w:spacing w:before="240" w:after="60"/>
      <w:outlineLvl w:val="1"/>
    </w:pPr>
    <w:rPr>
      <w:rFonts w:ascii="Arial" w:hAnsi="Arial" w:cs="Arial"/>
      <w:b/>
      <w:bCs/>
      <w:i/>
      <w:iCs/>
      <w:sz w:val="28"/>
      <w:szCs w:val="28"/>
    </w:rPr>
  </w:style>
  <w:style w:type="paragraph" w:styleId="Heading4">
    <w:name w:val="heading 4"/>
    <w:basedOn w:val="Normal"/>
    <w:qFormat/>
    <w:rsid w:val="00DD3441"/>
    <w:pPr>
      <w:spacing w:before="100" w:beforeAutospacing="1" w:after="100" w:afterAutospacing="1"/>
      <w:outlineLvl w:val="3"/>
    </w:pPr>
    <w:rPr>
      <w:b/>
      <w:bCs/>
      <w:color w:val="000000"/>
      <w:lang w:val="en-US"/>
    </w:rPr>
  </w:style>
  <w:style w:type="paragraph" w:styleId="Heading5">
    <w:name w:val="heading 5"/>
    <w:basedOn w:val="Normal"/>
    <w:next w:val="Normal"/>
    <w:qFormat/>
    <w:rsid w:val="007E4E52"/>
    <w:pPr>
      <w:spacing w:before="240" w:after="60"/>
      <w:outlineLvl w:val="4"/>
    </w:pPr>
    <w:rPr>
      <w:b/>
      <w:bCs/>
      <w:i/>
      <w:iCs/>
      <w:sz w:val="26"/>
      <w:szCs w:val="26"/>
    </w:rPr>
  </w:style>
  <w:style w:type="paragraph" w:styleId="Heading6">
    <w:name w:val="heading 6"/>
    <w:basedOn w:val="Normal"/>
    <w:next w:val="Normal"/>
    <w:qFormat/>
    <w:rsid w:val="00221262"/>
    <w:pPr>
      <w:spacing w:before="240" w:after="60"/>
      <w:outlineLvl w:val="5"/>
    </w:pPr>
    <w:rPr>
      <w:b/>
      <w:bCs/>
      <w:sz w:val="22"/>
      <w:szCs w:val="22"/>
    </w:rPr>
  </w:style>
  <w:style w:type="paragraph" w:styleId="Heading7">
    <w:name w:val="heading 7"/>
    <w:basedOn w:val="Normal"/>
    <w:next w:val="Normal"/>
    <w:qFormat/>
    <w:rsid w:val="00EE4F42"/>
    <w:pPr>
      <w:spacing w:before="240" w:after="60"/>
      <w:outlineLvl w:val="6"/>
    </w:pPr>
  </w:style>
  <w:style w:type="paragraph" w:styleId="Heading8">
    <w:name w:val="heading 8"/>
    <w:basedOn w:val="Normal"/>
    <w:next w:val="Normal"/>
    <w:qFormat/>
    <w:rsid w:val="00EE4F42"/>
    <w:pPr>
      <w:spacing w:before="240" w:after="60"/>
      <w:outlineLvl w:val="7"/>
    </w:pPr>
    <w:rPr>
      <w:i/>
      <w:iCs/>
    </w:rPr>
  </w:style>
  <w:style w:type="paragraph" w:styleId="Heading9">
    <w:name w:val="heading 9"/>
    <w:basedOn w:val="Normal"/>
    <w:next w:val="Normal"/>
    <w:qFormat/>
    <w:rsid w:val="0022126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21340"/>
    <w:pPr>
      <w:tabs>
        <w:tab w:val="center" w:pos="4320"/>
        <w:tab w:val="right" w:pos="8640"/>
      </w:tabs>
    </w:pPr>
  </w:style>
  <w:style w:type="paragraph" w:styleId="Footer">
    <w:name w:val="footer"/>
    <w:basedOn w:val="Normal"/>
    <w:rsid w:val="00E21340"/>
    <w:pPr>
      <w:tabs>
        <w:tab w:val="center" w:pos="4320"/>
        <w:tab w:val="right" w:pos="8640"/>
      </w:tabs>
    </w:pPr>
  </w:style>
  <w:style w:type="paragraph" w:styleId="BodyTextIndent3">
    <w:name w:val="Body Text Indent 3"/>
    <w:basedOn w:val="Normal"/>
    <w:rsid w:val="007E4E52"/>
    <w:pPr>
      <w:spacing w:before="100" w:beforeAutospacing="1" w:after="100" w:afterAutospacing="1"/>
    </w:pPr>
    <w:rPr>
      <w:color w:val="000000"/>
      <w:lang w:val="en-US"/>
    </w:rPr>
  </w:style>
  <w:style w:type="paragraph" w:styleId="BodyTextIndent">
    <w:name w:val="Body Text Indent"/>
    <w:basedOn w:val="Normal"/>
    <w:rsid w:val="007E4E52"/>
    <w:pPr>
      <w:spacing w:after="120"/>
      <w:ind w:left="360"/>
    </w:pPr>
  </w:style>
  <w:style w:type="paragraph" w:styleId="BodyText">
    <w:name w:val="Body Text"/>
    <w:basedOn w:val="Normal"/>
    <w:rsid w:val="00AA3881"/>
    <w:pPr>
      <w:spacing w:after="120"/>
    </w:pPr>
  </w:style>
  <w:style w:type="paragraph" w:styleId="NormalWeb">
    <w:name w:val="Normal (Web)"/>
    <w:basedOn w:val="Normal"/>
    <w:rsid w:val="00627289"/>
    <w:pPr>
      <w:spacing w:before="100" w:beforeAutospacing="1" w:after="100" w:afterAutospacing="1"/>
    </w:pPr>
    <w:rPr>
      <w:color w:val="000000"/>
      <w:lang w:val="en-US"/>
    </w:rPr>
  </w:style>
  <w:style w:type="paragraph" w:styleId="BodyText2">
    <w:name w:val="Body Text 2"/>
    <w:basedOn w:val="Normal"/>
    <w:rsid w:val="008010C0"/>
    <w:pPr>
      <w:spacing w:after="120" w:line="480" w:lineRule="auto"/>
    </w:pPr>
  </w:style>
  <w:style w:type="paragraph" w:styleId="BodyText3">
    <w:name w:val="Body Text 3"/>
    <w:basedOn w:val="Normal"/>
    <w:rsid w:val="00B936E6"/>
    <w:pPr>
      <w:spacing w:after="120"/>
    </w:pPr>
    <w:rPr>
      <w:sz w:val="16"/>
      <w:szCs w:val="16"/>
    </w:rPr>
  </w:style>
  <w:style w:type="paragraph" w:styleId="BodyTextIndent2">
    <w:name w:val="Body Text Indent 2"/>
    <w:basedOn w:val="Normal"/>
    <w:rsid w:val="00786197"/>
    <w:pPr>
      <w:spacing w:after="120" w:line="480" w:lineRule="auto"/>
      <w:ind w:left="360"/>
    </w:pPr>
  </w:style>
  <w:style w:type="paragraph" w:styleId="BlockText">
    <w:name w:val="Block Text"/>
    <w:basedOn w:val="Normal"/>
    <w:rsid w:val="00221262"/>
    <w:pPr>
      <w:spacing w:before="100" w:beforeAutospacing="1" w:after="100" w:afterAutospacing="1"/>
    </w:pPr>
    <w:rPr>
      <w:color w:val="000000"/>
      <w:lang w:val="en-US"/>
    </w:rPr>
  </w:style>
</w:styles>
</file>

<file path=word/webSettings.xml><?xml version="1.0" encoding="utf-8"?>
<w:webSettings xmlns:r="http://schemas.openxmlformats.org/officeDocument/2006/relationships" xmlns:w="http://schemas.openxmlformats.org/wordprocessingml/2006/main">
  <w:divs>
    <w:div w:id="51782684">
      <w:bodyDiv w:val="1"/>
      <w:marLeft w:val="0"/>
      <w:marRight w:val="0"/>
      <w:marTop w:val="0"/>
      <w:marBottom w:val="0"/>
      <w:divBdr>
        <w:top w:val="none" w:sz="0" w:space="0" w:color="auto"/>
        <w:left w:val="none" w:sz="0" w:space="0" w:color="auto"/>
        <w:bottom w:val="none" w:sz="0" w:space="0" w:color="auto"/>
        <w:right w:val="none" w:sz="0" w:space="0" w:color="auto"/>
      </w:divBdr>
    </w:div>
    <w:div w:id="66192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2029</Words>
  <Characters>11569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ANNEX A – PRODUCT PARTICULARS</vt:lpstr>
    </vt:vector>
  </TitlesOfParts>
  <Company>User</Company>
  <LinksUpToDate>false</LinksUpToDate>
  <CharactersWithSpaces>13571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A – PRODUCT PARTICULARS</dc:title>
  <dc:creator>admin</dc:creator>
  <cp:lastModifiedBy>user</cp:lastModifiedBy>
  <cp:revision>2</cp:revision>
  <dcterms:created xsi:type="dcterms:W3CDTF">2017-08-10T07:19:00Z</dcterms:created>
  <dcterms:modified xsi:type="dcterms:W3CDTF">2017-08-10T07:19:00Z</dcterms:modified>
</cp:coreProperties>
</file>